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66246" w14:textId="77777777" w:rsidR="00056CF6" w:rsidRDefault="00056CF6" w:rsidP="0068474B">
      <w:pPr>
        <w:jc w:val="both"/>
        <w:rPr>
          <w:rFonts w:asciiTheme="minorHAnsi" w:hAnsiTheme="minorHAnsi"/>
          <w:i/>
          <w:highlight w:val="yellow"/>
        </w:rPr>
      </w:pPr>
      <w:bookmarkStart w:id="0" w:name="_GoBack"/>
      <w:bookmarkEnd w:id="0"/>
    </w:p>
    <w:p w14:paraId="7E6C581D" w14:textId="2905580D" w:rsidR="008F43B6" w:rsidRDefault="008F43B6">
      <w:pPr>
        <w:rPr>
          <w:rFonts w:asciiTheme="minorHAnsi" w:hAnsiTheme="minorHAnsi"/>
          <w:i/>
          <w:highlight w:val="yellow"/>
        </w:rPr>
      </w:pPr>
    </w:p>
    <w:tbl>
      <w:tblPr>
        <w:tblStyle w:val="Mriekatabuky"/>
        <w:tblW w:w="14851" w:type="dxa"/>
        <w:tblInd w:w="-318" w:type="dxa"/>
        <w:tblLook w:val="04A0" w:firstRow="1" w:lastRow="0" w:firstColumn="1" w:lastColumn="0" w:noHBand="0" w:noVBand="1"/>
      </w:tblPr>
      <w:tblGrid>
        <w:gridCol w:w="1311"/>
        <w:gridCol w:w="1866"/>
        <w:gridCol w:w="5001"/>
        <w:gridCol w:w="1058"/>
        <w:gridCol w:w="1699"/>
        <w:gridCol w:w="1224"/>
        <w:gridCol w:w="1283"/>
        <w:gridCol w:w="1409"/>
      </w:tblGrid>
      <w:tr w:rsidR="008F43B6" w:rsidRPr="00A42D69" w14:paraId="0102F476" w14:textId="77777777" w:rsidTr="00925601">
        <w:trPr>
          <w:trHeight w:val="630"/>
        </w:trPr>
        <w:tc>
          <w:tcPr>
            <w:tcW w:w="14851" w:type="dxa"/>
            <w:gridSpan w:val="8"/>
            <w:shd w:val="clear" w:color="auto" w:fill="8DB3E2" w:themeFill="text2" w:themeFillTint="66"/>
          </w:tcPr>
          <w:p w14:paraId="5F3EA313" w14:textId="77777777" w:rsidR="008F43B6" w:rsidRPr="00A42D69" w:rsidRDefault="008F43B6"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8F43B6" w:rsidRPr="00A42D69" w14:paraId="091314C6" w14:textId="77777777" w:rsidTr="008F43B6">
        <w:tc>
          <w:tcPr>
            <w:tcW w:w="3177" w:type="dxa"/>
            <w:gridSpan w:val="2"/>
            <w:tcBorders>
              <w:bottom w:val="single" w:sz="4" w:space="0" w:color="auto"/>
            </w:tcBorders>
            <w:shd w:val="clear" w:color="auto" w:fill="DBE5F1" w:themeFill="accent1" w:themeFillTint="33"/>
          </w:tcPr>
          <w:p w14:paraId="6968FD33" w14:textId="77777777" w:rsidR="008F43B6" w:rsidRPr="00C63419" w:rsidRDefault="008F43B6"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7BC67F6B" w14:textId="77777777" w:rsidR="008F43B6" w:rsidRPr="00264E75" w:rsidRDefault="006E5DBC"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581260683"/>
                <w:placeholder>
                  <w:docPart w:val="6FC676C77735410FB637C50E37D9C4C1"/>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8F43B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8F43B6" w:rsidRPr="00A42D69" w14:paraId="33EF80E9" w14:textId="77777777" w:rsidTr="008F43B6">
        <w:tc>
          <w:tcPr>
            <w:tcW w:w="3177" w:type="dxa"/>
            <w:gridSpan w:val="2"/>
            <w:tcBorders>
              <w:bottom w:val="single" w:sz="4" w:space="0" w:color="auto"/>
            </w:tcBorders>
            <w:shd w:val="clear" w:color="auto" w:fill="DBE5F1" w:themeFill="accent1" w:themeFillTint="33"/>
          </w:tcPr>
          <w:p w14:paraId="3C10AECC" w14:textId="77777777" w:rsidR="008F43B6" w:rsidRPr="00C63419" w:rsidRDefault="008F43B6"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670E8ACB" w14:textId="1EA7DFEE" w:rsidR="008F43B6" w:rsidRPr="00952249" w:rsidRDefault="00952249" w:rsidP="00925601">
            <w:pPr>
              <w:spacing w:before="120" w:after="120"/>
              <w:jc w:val="both"/>
              <w:rPr>
                <w:rFonts w:asciiTheme="minorHAnsi" w:hAnsiTheme="minorHAnsi"/>
                <w:iCs/>
                <w:sz w:val="20"/>
              </w:rPr>
            </w:pPr>
            <w:r>
              <w:rPr>
                <w:rFonts w:asciiTheme="minorHAnsi" w:hAnsiTheme="minorHAnsi"/>
                <w:iCs/>
                <w:sz w:val="20"/>
              </w:rPr>
              <w:t>M</w:t>
            </w:r>
            <w:r w:rsidR="003D7BD7">
              <w:rPr>
                <w:rFonts w:asciiTheme="minorHAnsi" w:hAnsiTheme="minorHAnsi"/>
                <w:iCs/>
                <w:sz w:val="20"/>
              </w:rPr>
              <w:t>iestna akčná skupina</w:t>
            </w:r>
            <w:r>
              <w:rPr>
                <w:rFonts w:asciiTheme="minorHAnsi" w:hAnsiTheme="minorHAnsi"/>
                <w:iCs/>
                <w:sz w:val="20"/>
              </w:rPr>
              <w:t xml:space="preserve"> </w:t>
            </w:r>
            <w:r w:rsidR="00311039">
              <w:rPr>
                <w:rFonts w:asciiTheme="minorHAnsi" w:hAnsiTheme="minorHAnsi"/>
                <w:iCs/>
                <w:sz w:val="20"/>
              </w:rPr>
              <w:t>Hontiansko-Novohradské partnerstvo</w:t>
            </w:r>
          </w:p>
        </w:tc>
      </w:tr>
      <w:tr w:rsidR="008F43B6" w:rsidRPr="00A42D69" w14:paraId="262B5611" w14:textId="77777777" w:rsidTr="008F43B6">
        <w:tc>
          <w:tcPr>
            <w:tcW w:w="3177" w:type="dxa"/>
            <w:gridSpan w:val="2"/>
            <w:tcBorders>
              <w:bottom w:val="single" w:sz="4" w:space="0" w:color="auto"/>
            </w:tcBorders>
            <w:shd w:val="clear" w:color="auto" w:fill="DBE5F1" w:themeFill="accent1" w:themeFillTint="33"/>
          </w:tcPr>
          <w:p w14:paraId="06314B75" w14:textId="77777777" w:rsidR="008F43B6" w:rsidRPr="00C63419" w:rsidRDefault="008F43B6"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2C286EB1" w14:textId="5296A4C9" w:rsidR="008F43B6" w:rsidRPr="00A42D69" w:rsidRDefault="006E5DBC"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324557510"/>
                <w:placeholder>
                  <w:docPart w:val="9690AA6004EE46ECBE426C7351BE9DD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F43B6">
                  <w:rPr>
                    <w:rFonts w:asciiTheme="minorHAnsi" w:hAnsiTheme="minorHAnsi" w:cs="Arial"/>
                    <w:sz w:val="20"/>
                  </w:rPr>
                  <w:t>C1 Komunitné sociálne služby</w:t>
                </w:r>
              </w:sdtContent>
            </w:sdt>
          </w:p>
        </w:tc>
      </w:tr>
      <w:tr w:rsidR="008F43B6" w:rsidRPr="00A42D69" w14:paraId="65EB213C" w14:textId="77777777" w:rsidTr="008F43B6">
        <w:tc>
          <w:tcPr>
            <w:tcW w:w="1311" w:type="dxa"/>
            <w:tcBorders>
              <w:bottom w:val="single" w:sz="4" w:space="0" w:color="auto"/>
            </w:tcBorders>
            <w:shd w:val="clear" w:color="auto" w:fill="A6A6A6" w:themeFill="background1" w:themeFillShade="A6"/>
            <w:vAlign w:val="center"/>
          </w:tcPr>
          <w:p w14:paraId="679194E1"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5709593F"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1CB1BA1A"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5001" w:type="dxa"/>
            <w:tcBorders>
              <w:bottom w:val="single" w:sz="4" w:space="0" w:color="auto"/>
            </w:tcBorders>
            <w:shd w:val="clear" w:color="auto" w:fill="A6A6A6" w:themeFill="background1" w:themeFillShade="A6"/>
            <w:vAlign w:val="center"/>
          </w:tcPr>
          <w:p w14:paraId="693D46B8"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58" w:type="dxa"/>
            <w:tcBorders>
              <w:bottom w:val="single" w:sz="4" w:space="0" w:color="auto"/>
            </w:tcBorders>
            <w:shd w:val="clear" w:color="auto" w:fill="A6A6A6" w:themeFill="background1" w:themeFillShade="A6"/>
            <w:vAlign w:val="center"/>
          </w:tcPr>
          <w:p w14:paraId="6ECEE16C"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99" w:type="dxa"/>
            <w:tcBorders>
              <w:bottom w:val="single" w:sz="4" w:space="0" w:color="auto"/>
            </w:tcBorders>
            <w:shd w:val="clear" w:color="auto" w:fill="A6A6A6" w:themeFill="background1" w:themeFillShade="A6"/>
            <w:vAlign w:val="center"/>
          </w:tcPr>
          <w:p w14:paraId="11AAF19C"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6603AD6F" w14:textId="77777777" w:rsidR="008F43B6" w:rsidRPr="00A42D69" w:rsidRDefault="008F43B6"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24" w:type="dxa"/>
            <w:tcBorders>
              <w:bottom w:val="single" w:sz="4" w:space="0" w:color="auto"/>
            </w:tcBorders>
            <w:shd w:val="clear" w:color="auto" w:fill="A6A6A6" w:themeFill="background1" w:themeFillShade="A6"/>
            <w:vAlign w:val="center"/>
          </w:tcPr>
          <w:p w14:paraId="36216B45"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83" w:type="dxa"/>
            <w:tcBorders>
              <w:bottom w:val="single" w:sz="4" w:space="0" w:color="auto"/>
            </w:tcBorders>
            <w:shd w:val="clear" w:color="auto" w:fill="A6A6A6" w:themeFill="background1" w:themeFillShade="A6"/>
            <w:vAlign w:val="center"/>
          </w:tcPr>
          <w:p w14:paraId="3B1CF7C7"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RMŽaND. N/A)</w:t>
            </w:r>
            <w:r>
              <w:rPr>
                <w:rStyle w:val="Odkaznapoznmkupodiarou"/>
                <w:rFonts w:asciiTheme="minorHAnsi" w:hAnsiTheme="minorHAnsi"/>
                <w:szCs w:val="22"/>
              </w:rPr>
              <w:footnoteReference w:id="3"/>
            </w:r>
          </w:p>
        </w:tc>
        <w:tc>
          <w:tcPr>
            <w:tcW w:w="1409" w:type="dxa"/>
            <w:tcBorders>
              <w:bottom w:val="single" w:sz="4" w:space="0" w:color="auto"/>
            </w:tcBorders>
            <w:shd w:val="clear" w:color="auto" w:fill="A6A6A6" w:themeFill="background1" w:themeFillShade="A6"/>
          </w:tcPr>
          <w:p w14:paraId="615A7298" w14:textId="77777777" w:rsidR="008F43B6" w:rsidRPr="00A42D69" w:rsidRDefault="008F43B6"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8F43B6" w:rsidRPr="009365C4" w14:paraId="127D0FCD" w14:textId="77777777" w:rsidTr="008F43B6">
        <w:trPr>
          <w:trHeight w:val="548"/>
        </w:trPr>
        <w:tc>
          <w:tcPr>
            <w:tcW w:w="1311" w:type="dxa"/>
            <w:tcBorders>
              <w:bottom w:val="single" w:sz="4" w:space="0" w:color="auto"/>
            </w:tcBorders>
            <w:shd w:val="clear" w:color="auto" w:fill="FFFFFF" w:themeFill="background1"/>
          </w:tcPr>
          <w:p w14:paraId="0866E9D8" w14:textId="759F63BA" w:rsidR="008F43B6" w:rsidRPr="009365C4" w:rsidRDefault="008F43B6" w:rsidP="00925601">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C101</w:t>
            </w:r>
          </w:p>
        </w:tc>
        <w:tc>
          <w:tcPr>
            <w:tcW w:w="1866" w:type="dxa"/>
            <w:tcBorders>
              <w:bottom w:val="single" w:sz="4" w:space="0" w:color="auto"/>
            </w:tcBorders>
            <w:shd w:val="clear" w:color="auto" w:fill="FFFFFF" w:themeFill="background1"/>
          </w:tcPr>
          <w:p w14:paraId="6F25BE49" w14:textId="0FA3BE07" w:rsidR="008F43B6" w:rsidRPr="009365C4" w:rsidRDefault="008F43B6" w:rsidP="00925601">
            <w:pPr>
              <w:autoSpaceDE w:val="0"/>
              <w:autoSpaceDN w:val="0"/>
              <w:adjustRightInd w:val="0"/>
              <w:spacing w:before="120" w:after="120"/>
              <w:rPr>
                <w:rFonts w:asciiTheme="minorHAnsi" w:hAnsiTheme="minorHAnsi"/>
                <w:sz w:val="20"/>
              </w:rPr>
            </w:pPr>
            <w:r w:rsidRPr="008F43B6">
              <w:rPr>
                <w:rFonts w:asciiTheme="minorHAnsi" w:hAnsiTheme="minorHAnsi"/>
                <w:sz w:val="20"/>
              </w:rPr>
              <w:t>Kapacita podporených zariadení komunitných sociálnych služieb</w:t>
            </w:r>
          </w:p>
        </w:tc>
        <w:tc>
          <w:tcPr>
            <w:tcW w:w="5001" w:type="dxa"/>
            <w:tcBorders>
              <w:bottom w:val="single" w:sz="4" w:space="0" w:color="auto"/>
            </w:tcBorders>
            <w:shd w:val="clear" w:color="auto" w:fill="FFFFFF" w:themeFill="background1"/>
          </w:tcPr>
          <w:p w14:paraId="1601E6EA" w14:textId="7BBB961F" w:rsidR="008F43B6" w:rsidRPr="009365C4" w:rsidRDefault="008F43B6" w:rsidP="00925601">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osôb, ktorí môžu využívať novovzniknuté alebo existujúce (zrekonštruované alebo zmodernizované) zariadenia komunitných sociálnych služieb. Nezapočítavajú sa zamestnanci zariadení. Ukazovateľ meria nominálnu kapacitu zariadenia, ktorá je zväčša väčšia alebo rovná skutočnému počtu osôb.</w:t>
            </w:r>
          </w:p>
        </w:tc>
        <w:tc>
          <w:tcPr>
            <w:tcW w:w="1058" w:type="dxa"/>
            <w:tcBorders>
              <w:bottom w:val="single" w:sz="4" w:space="0" w:color="auto"/>
            </w:tcBorders>
            <w:shd w:val="clear" w:color="auto" w:fill="FFFFFF" w:themeFill="background1"/>
          </w:tcPr>
          <w:p w14:paraId="6204642A" w14:textId="4AFEADA6" w:rsidR="008F43B6" w:rsidRPr="008C0112" w:rsidRDefault="008F43B6" w:rsidP="00925601">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Osoby</w:t>
            </w:r>
          </w:p>
        </w:tc>
        <w:tc>
          <w:tcPr>
            <w:tcW w:w="1699" w:type="dxa"/>
            <w:tcBorders>
              <w:bottom w:val="single" w:sz="4" w:space="0" w:color="auto"/>
            </w:tcBorders>
            <w:shd w:val="clear" w:color="auto" w:fill="FFFFFF" w:themeFill="background1"/>
          </w:tcPr>
          <w:p w14:paraId="5D839232" w14:textId="77777777" w:rsidR="008F43B6" w:rsidRPr="008C0112" w:rsidRDefault="008F43B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24" w:type="dxa"/>
            <w:tcBorders>
              <w:bottom w:val="single" w:sz="4" w:space="0" w:color="auto"/>
            </w:tcBorders>
            <w:shd w:val="clear" w:color="auto" w:fill="FFFFFF" w:themeFill="background1"/>
          </w:tcPr>
          <w:p w14:paraId="1B8C7A6F" w14:textId="77777777" w:rsidR="008F43B6" w:rsidRPr="008C0112" w:rsidRDefault="008F43B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tcBorders>
              <w:bottom w:val="single" w:sz="4" w:space="0" w:color="auto"/>
            </w:tcBorders>
            <w:shd w:val="clear" w:color="auto" w:fill="FFFFFF" w:themeFill="background1"/>
          </w:tcPr>
          <w:p w14:paraId="7741A7DF" w14:textId="648B39C8" w:rsidR="008F43B6" w:rsidRPr="008C0112" w:rsidRDefault="008F43B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xml:space="preserve">, </w:t>
            </w:r>
            <w:r w:rsidR="003D7BD7">
              <w:rPr>
                <w:rFonts w:asciiTheme="minorHAnsi" w:hAnsiTheme="minorHAnsi"/>
                <w:sz w:val="20"/>
              </w:rPr>
              <w:t>RMŽaND</w:t>
            </w:r>
          </w:p>
        </w:tc>
        <w:tc>
          <w:tcPr>
            <w:tcW w:w="1409" w:type="dxa"/>
            <w:tcBorders>
              <w:bottom w:val="single" w:sz="4" w:space="0" w:color="auto"/>
            </w:tcBorders>
            <w:shd w:val="clear" w:color="auto" w:fill="FFFFFF" w:themeFill="background1"/>
          </w:tcPr>
          <w:p w14:paraId="2CD21504" w14:textId="77777777" w:rsidR="008F43B6" w:rsidRPr="008C0112" w:rsidRDefault="008F43B6" w:rsidP="00925601">
            <w:pPr>
              <w:autoSpaceDE w:val="0"/>
              <w:autoSpaceDN w:val="0"/>
              <w:adjustRightInd w:val="0"/>
              <w:spacing w:before="120" w:after="120"/>
              <w:rPr>
                <w:rFonts w:asciiTheme="minorHAnsi" w:hAnsiTheme="minorHAnsi"/>
                <w:sz w:val="20"/>
              </w:rPr>
            </w:pPr>
            <w:r>
              <w:rPr>
                <w:rFonts w:asciiTheme="minorHAnsi" w:hAnsiTheme="minorHAnsi"/>
                <w:sz w:val="20"/>
              </w:rPr>
              <w:t>áno</w:t>
            </w:r>
          </w:p>
        </w:tc>
      </w:tr>
      <w:tr w:rsidR="008F43B6" w:rsidRPr="009365C4" w14:paraId="5C32D8C5" w14:textId="77777777" w:rsidTr="008F43B6">
        <w:trPr>
          <w:trHeight w:val="548"/>
        </w:trPr>
        <w:tc>
          <w:tcPr>
            <w:tcW w:w="1311" w:type="dxa"/>
            <w:shd w:val="clear" w:color="auto" w:fill="FFFFFF" w:themeFill="background1"/>
          </w:tcPr>
          <w:p w14:paraId="62D3DAAD" w14:textId="570DA43B" w:rsidR="008F43B6" w:rsidRPr="008C0112" w:rsidRDefault="008F43B6" w:rsidP="008F43B6">
            <w:pPr>
              <w:autoSpaceDE w:val="0"/>
              <w:autoSpaceDN w:val="0"/>
              <w:adjustRightInd w:val="0"/>
              <w:spacing w:before="120" w:after="120"/>
              <w:jc w:val="center"/>
              <w:rPr>
                <w:rFonts w:asciiTheme="minorHAnsi" w:hAnsiTheme="minorHAnsi"/>
                <w:sz w:val="20"/>
              </w:rPr>
            </w:pPr>
            <w:r w:rsidRPr="008F43B6">
              <w:rPr>
                <w:rFonts w:asciiTheme="minorHAnsi" w:hAnsiTheme="minorHAnsi"/>
                <w:sz w:val="20"/>
              </w:rPr>
              <w:t>C102</w:t>
            </w:r>
          </w:p>
        </w:tc>
        <w:tc>
          <w:tcPr>
            <w:tcW w:w="1866" w:type="dxa"/>
            <w:shd w:val="clear" w:color="auto" w:fill="FFFFFF" w:themeFill="background1"/>
          </w:tcPr>
          <w:p w14:paraId="74790951" w14:textId="4EB9A23B" w:rsidR="008F43B6" w:rsidRPr="008C0112"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Počet sociálnych služieb na komunitnej úrovni, ktoré vzniknú vďaka podpore</w:t>
            </w:r>
          </w:p>
        </w:tc>
        <w:tc>
          <w:tcPr>
            <w:tcW w:w="5001" w:type="dxa"/>
            <w:shd w:val="clear" w:color="auto" w:fill="FFFFFF" w:themeFill="background1"/>
          </w:tcPr>
          <w:p w14:paraId="62676CE6" w14:textId="2493C13A" w:rsidR="008F43B6" w:rsidRPr="008C0112" w:rsidRDefault="008F43B6" w:rsidP="008F43B6">
            <w:pPr>
              <w:autoSpaceDE w:val="0"/>
              <w:autoSpaceDN w:val="0"/>
              <w:adjustRightInd w:val="0"/>
              <w:spacing w:before="120" w:after="120"/>
              <w:jc w:val="both"/>
              <w:rPr>
                <w:rFonts w:asciiTheme="minorHAnsi" w:hAnsiTheme="minorHAnsi"/>
                <w:sz w:val="20"/>
              </w:rPr>
            </w:pPr>
            <w:r w:rsidRPr="008F43B6">
              <w:rPr>
                <w:rFonts w:asciiTheme="minorHAnsi" w:hAnsiTheme="minorHAnsi"/>
                <w:sz w:val="20"/>
              </w:rPr>
              <w:t>Počet komunitných sociálnych služieb, ktoré vzniknú vďaka podpore a majú charakter sociálnej služby na komunitnej úrovni. Započítavajú sa komunitné sociálne služby, ktoré vzniknú v dôsledku realizácie projektu (aj keď vzniknú v rámci už existujúceho zariadenia, ak sa predtým v tomto zariadení táto služby neposkytovala).</w:t>
            </w:r>
          </w:p>
        </w:tc>
        <w:tc>
          <w:tcPr>
            <w:tcW w:w="1058" w:type="dxa"/>
            <w:shd w:val="clear" w:color="auto" w:fill="FFFFFF" w:themeFill="background1"/>
          </w:tcPr>
          <w:p w14:paraId="34C992CA" w14:textId="7B8112D3" w:rsidR="008F43B6" w:rsidRPr="008C0112" w:rsidRDefault="008F43B6" w:rsidP="008F43B6">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699" w:type="dxa"/>
            <w:shd w:val="clear" w:color="auto" w:fill="FFFFFF" w:themeFill="background1"/>
          </w:tcPr>
          <w:p w14:paraId="3411240E" w14:textId="7D185EEC" w:rsidR="008F43B6" w:rsidRPr="008C0112"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k dátumu ukončenia prác na projekte</w:t>
            </w:r>
          </w:p>
        </w:tc>
        <w:tc>
          <w:tcPr>
            <w:tcW w:w="1224" w:type="dxa"/>
            <w:shd w:val="clear" w:color="auto" w:fill="FFFFFF" w:themeFill="background1"/>
          </w:tcPr>
          <w:p w14:paraId="10A0EA4E" w14:textId="50AF65B0" w:rsidR="008F43B6" w:rsidRPr="008C0112" w:rsidRDefault="008F43B6"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3" w:type="dxa"/>
            <w:shd w:val="clear" w:color="auto" w:fill="FFFFFF" w:themeFill="background1"/>
          </w:tcPr>
          <w:p w14:paraId="0849752D" w14:textId="1B5C9109" w:rsidR="008F43B6" w:rsidRPr="008C0112" w:rsidRDefault="003D7BD7" w:rsidP="008F43B6">
            <w:pPr>
              <w:autoSpaceDE w:val="0"/>
              <w:autoSpaceDN w:val="0"/>
              <w:adjustRightInd w:val="0"/>
              <w:spacing w:before="120" w:after="120"/>
              <w:rPr>
                <w:rFonts w:asciiTheme="minorHAnsi" w:hAnsiTheme="minorHAnsi"/>
                <w:sz w:val="20"/>
              </w:rPr>
            </w:pPr>
            <w:r w:rsidRPr="008C0112">
              <w:rPr>
                <w:rFonts w:asciiTheme="minorHAnsi" w:hAnsiTheme="minorHAnsi"/>
                <w:sz w:val="20"/>
              </w:rPr>
              <w:t>UR</w:t>
            </w:r>
            <w:r>
              <w:rPr>
                <w:rFonts w:asciiTheme="minorHAnsi" w:hAnsiTheme="minorHAnsi"/>
                <w:sz w:val="20"/>
              </w:rPr>
              <w:t>, RMŽaND</w:t>
            </w:r>
          </w:p>
        </w:tc>
        <w:tc>
          <w:tcPr>
            <w:tcW w:w="1409" w:type="dxa"/>
            <w:shd w:val="clear" w:color="auto" w:fill="FFFFFF" w:themeFill="background1"/>
          </w:tcPr>
          <w:p w14:paraId="0520F3BA" w14:textId="6AA3624C" w:rsidR="008F43B6" w:rsidRDefault="008F43B6" w:rsidP="008F43B6">
            <w:pPr>
              <w:autoSpaceDE w:val="0"/>
              <w:autoSpaceDN w:val="0"/>
              <w:adjustRightInd w:val="0"/>
              <w:spacing w:before="120" w:after="120"/>
              <w:rPr>
                <w:rFonts w:asciiTheme="minorHAnsi" w:hAnsiTheme="minorHAnsi"/>
                <w:sz w:val="20"/>
              </w:rPr>
            </w:pPr>
            <w:r w:rsidRPr="008F43B6">
              <w:rPr>
                <w:rFonts w:asciiTheme="minorHAnsi" w:hAnsiTheme="minorHAnsi"/>
                <w:sz w:val="20"/>
              </w:rPr>
              <w:t>áno – v</w:t>
            </w:r>
            <w:r>
              <w:rPr>
                <w:rFonts w:asciiTheme="minorHAnsi" w:hAnsiTheme="minorHAnsi"/>
                <w:sz w:val="20"/>
              </w:rPr>
              <w:t> </w:t>
            </w:r>
            <w:r w:rsidRPr="008F43B6">
              <w:rPr>
                <w:rFonts w:asciiTheme="minorHAnsi" w:hAnsiTheme="minorHAnsi"/>
                <w:sz w:val="20"/>
              </w:rPr>
              <w:t>prípade, ak projekt vedie k vzniku služieb</w:t>
            </w:r>
          </w:p>
        </w:tc>
      </w:tr>
      <w:tr w:rsidR="008F43B6" w:rsidRPr="009365C4" w14:paraId="46974EB7" w14:textId="77777777" w:rsidTr="00A56707">
        <w:trPr>
          <w:trHeight w:val="548"/>
        </w:trPr>
        <w:tc>
          <w:tcPr>
            <w:tcW w:w="1311" w:type="dxa"/>
            <w:shd w:val="clear" w:color="auto" w:fill="auto"/>
          </w:tcPr>
          <w:p w14:paraId="187EBD49" w14:textId="5575035D" w:rsidR="008F43B6" w:rsidRPr="00A56707" w:rsidRDefault="008F43B6" w:rsidP="008F43B6">
            <w:pPr>
              <w:autoSpaceDE w:val="0"/>
              <w:autoSpaceDN w:val="0"/>
              <w:adjustRightInd w:val="0"/>
              <w:spacing w:before="120" w:after="120"/>
              <w:jc w:val="center"/>
              <w:rPr>
                <w:rFonts w:asciiTheme="minorHAnsi" w:hAnsiTheme="minorHAnsi"/>
                <w:sz w:val="20"/>
              </w:rPr>
            </w:pPr>
            <w:r w:rsidRPr="00A56707">
              <w:rPr>
                <w:rFonts w:asciiTheme="minorHAnsi" w:hAnsiTheme="minorHAnsi"/>
                <w:sz w:val="20"/>
              </w:rPr>
              <w:lastRenderedPageBreak/>
              <w:t>C10</w:t>
            </w:r>
            <w:r w:rsidR="004D6138" w:rsidRPr="00A56707">
              <w:rPr>
                <w:rFonts w:asciiTheme="minorHAnsi" w:hAnsiTheme="minorHAnsi"/>
                <w:sz w:val="20"/>
              </w:rPr>
              <w:t>4</w:t>
            </w:r>
            <w:r w:rsidR="0072481E" w:rsidRPr="00A56707">
              <w:rPr>
                <w:rStyle w:val="Odkaznapoznmkupodiarou"/>
                <w:rFonts w:asciiTheme="minorHAnsi" w:hAnsiTheme="minorHAnsi"/>
                <w:sz w:val="20"/>
              </w:rPr>
              <w:footnoteReference w:id="4"/>
            </w:r>
          </w:p>
        </w:tc>
        <w:tc>
          <w:tcPr>
            <w:tcW w:w="1866" w:type="dxa"/>
            <w:shd w:val="clear" w:color="auto" w:fill="auto"/>
          </w:tcPr>
          <w:p w14:paraId="51305C34" w14:textId="14B1CB8E" w:rsidR="008F43B6" w:rsidRPr="00A56707" w:rsidRDefault="008F43B6" w:rsidP="008F43B6">
            <w:pPr>
              <w:autoSpaceDE w:val="0"/>
              <w:autoSpaceDN w:val="0"/>
              <w:adjustRightInd w:val="0"/>
              <w:spacing w:before="120" w:after="120"/>
              <w:rPr>
                <w:rFonts w:asciiTheme="minorHAnsi" w:hAnsiTheme="minorHAnsi"/>
                <w:sz w:val="20"/>
              </w:rPr>
            </w:pPr>
            <w:r w:rsidRPr="00A56707">
              <w:rPr>
                <w:rFonts w:asciiTheme="minorHAnsi" w:hAnsiTheme="minorHAnsi"/>
                <w:sz w:val="20"/>
              </w:rPr>
              <w:t>Zvýšená kapacita podporených zariadení komunitných sociálnych služieb</w:t>
            </w:r>
          </w:p>
        </w:tc>
        <w:tc>
          <w:tcPr>
            <w:tcW w:w="5001" w:type="dxa"/>
            <w:shd w:val="clear" w:color="auto" w:fill="auto"/>
          </w:tcPr>
          <w:p w14:paraId="474E2A0E" w14:textId="7E0D2620" w:rsidR="008F43B6" w:rsidRPr="00A56707" w:rsidRDefault="008F43B6" w:rsidP="008F43B6">
            <w:pPr>
              <w:autoSpaceDE w:val="0"/>
              <w:autoSpaceDN w:val="0"/>
              <w:adjustRightInd w:val="0"/>
              <w:spacing w:before="120" w:after="120"/>
              <w:jc w:val="both"/>
              <w:rPr>
                <w:rFonts w:asciiTheme="minorHAnsi" w:hAnsiTheme="minorHAnsi"/>
                <w:sz w:val="20"/>
              </w:rPr>
            </w:pPr>
            <w:r w:rsidRPr="00A56707">
              <w:rPr>
                <w:rFonts w:asciiTheme="minorHAnsi" w:hAnsiTheme="minorHAnsi"/>
                <w:sz w:val="20"/>
              </w:rPr>
              <w:t>Počet osôb o ktorých sa zvýšila kapacita zariadenia komunitných sociálnych služieb v porovnaní s počtom osôb pred realizáciou projektu. Nezapočítavajú sa zamestnanci zariadení. Ukazovateľ meria nominálnu kapacitu zariadenia, ktorá je zväčša väčšia alebo rovná skutočnému počtu osôb</w:t>
            </w:r>
            <w:r w:rsidR="007679DA" w:rsidRPr="00A56707">
              <w:rPr>
                <w:rFonts w:asciiTheme="minorHAnsi" w:hAnsiTheme="minorHAnsi"/>
                <w:sz w:val="20"/>
              </w:rPr>
              <w:t>.</w:t>
            </w:r>
          </w:p>
        </w:tc>
        <w:tc>
          <w:tcPr>
            <w:tcW w:w="1058" w:type="dxa"/>
            <w:shd w:val="clear" w:color="auto" w:fill="auto"/>
          </w:tcPr>
          <w:p w14:paraId="1CB03BE5" w14:textId="53C62E2F" w:rsidR="008F43B6" w:rsidRPr="00A56707" w:rsidRDefault="008F43B6" w:rsidP="008F43B6">
            <w:pPr>
              <w:autoSpaceDE w:val="0"/>
              <w:autoSpaceDN w:val="0"/>
              <w:adjustRightInd w:val="0"/>
              <w:spacing w:before="120" w:after="120"/>
              <w:jc w:val="center"/>
              <w:rPr>
                <w:rFonts w:asciiTheme="minorHAnsi" w:hAnsiTheme="minorHAnsi"/>
                <w:sz w:val="20"/>
              </w:rPr>
            </w:pPr>
            <w:r w:rsidRPr="00A56707">
              <w:rPr>
                <w:rFonts w:asciiTheme="minorHAnsi" w:hAnsiTheme="minorHAnsi"/>
                <w:sz w:val="20"/>
              </w:rPr>
              <w:t>Miesto v sociálnych službách</w:t>
            </w:r>
          </w:p>
        </w:tc>
        <w:tc>
          <w:tcPr>
            <w:tcW w:w="1699" w:type="dxa"/>
            <w:shd w:val="clear" w:color="auto" w:fill="auto"/>
          </w:tcPr>
          <w:p w14:paraId="2FF68DBE" w14:textId="2C2258C5" w:rsidR="008F43B6" w:rsidRPr="00A56707" w:rsidRDefault="008F43B6" w:rsidP="008F43B6">
            <w:pPr>
              <w:autoSpaceDE w:val="0"/>
              <w:autoSpaceDN w:val="0"/>
              <w:adjustRightInd w:val="0"/>
              <w:spacing w:before="120" w:after="120"/>
              <w:rPr>
                <w:rFonts w:asciiTheme="minorHAnsi" w:hAnsiTheme="minorHAnsi"/>
                <w:sz w:val="20"/>
              </w:rPr>
            </w:pPr>
            <w:r w:rsidRPr="00A56707">
              <w:rPr>
                <w:rFonts w:asciiTheme="minorHAnsi" w:hAnsiTheme="minorHAnsi"/>
                <w:sz w:val="20"/>
              </w:rPr>
              <w:t>k dátumu ukončenia prác na projekte</w:t>
            </w:r>
          </w:p>
        </w:tc>
        <w:tc>
          <w:tcPr>
            <w:tcW w:w="1224" w:type="dxa"/>
            <w:shd w:val="clear" w:color="auto" w:fill="auto"/>
          </w:tcPr>
          <w:p w14:paraId="20A88BCA" w14:textId="0260F821" w:rsidR="008F43B6" w:rsidRPr="00A56707" w:rsidRDefault="008F43B6" w:rsidP="008F43B6">
            <w:pPr>
              <w:autoSpaceDE w:val="0"/>
              <w:autoSpaceDN w:val="0"/>
              <w:adjustRightInd w:val="0"/>
              <w:spacing w:before="120" w:after="120"/>
              <w:rPr>
                <w:rFonts w:asciiTheme="minorHAnsi" w:hAnsiTheme="minorHAnsi"/>
                <w:sz w:val="20"/>
              </w:rPr>
            </w:pPr>
            <w:r w:rsidRPr="00A56707">
              <w:rPr>
                <w:rFonts w:asciiTheme="minorHAnsi" w:hAnsiTheme="minorHAnsi"/>
                <w:sz w:val="20"/>
              </w:rPr>
              <w:t>bez príznaku</w:t>
            </w:r>
          </w:p>
        </w:tc>
        <w:tc>
          <w:tcPr>
            <w:tcW w:w="1283" w:type="dxa"/>
            <w:shd w:val="clear" w:color="auto" w:fill="auto"/>
          </w:tcPr>
          <w:p w14:paraId="7D078F15" w14:textId="08EBAD5C" w:rsidR="008F43B6" w:rsidRPr="00A56707" w:rsidRDefault="003D7BD7" w:rsidP="008F43B6">
            <w:pPr>
              <w:autoSpaceDE w:val="0"/>
              <w:autoSpaceDN w:val="0"/>
              <w:adjustRightInd w:val="0"/>
              <w:spacing w:before="120" w:after="120"/>
              <w:rPr>
                <w:rFonts w:asciiTheme="minorHAnsi" w:hAnsiTheme="minorHAnsi"/>
                <w:sz w:val="20"/>
              </w:rPr>
            </w:pPr>
            <w:r w:rsidRPr="00A56707">
              <w:rPr>
                <w:rFonts w:asciiTheme="minorHAnsi" w:hAnsiTheme="minorHAnsi"/>
                <w:sz w:val="20"/>
              </w:rPr>
              <w:t>UR, RMŽaND</w:t>
            </w:r>
          </w:p>
        </w:tc>
        <w:tc>
          <w:tcPr>
            <w:tcW w:w="1409" w:type="dxa"/>
            <w:shd w:val="clear" w:color="auto" w:fill="auto"/>
          </w:tcPr>
          <w:p w14:paraId="26091C81" w14:textId="4FA11783" w:rsidR="008F43B6" w:rsidRPr="00A56707" w:rsidRDefault="008F43B6" w:rsidP="008F43B6">
            <w:pPr>
              <w:autoSpaceDE w:val="0"/>
              <w:autoSpaceDN w:val="0"/>
              <w:adjustRightInd w:val="0"/>
              <w:spacing w:before="120" w:after="120"/>
              <w:rPr>
                <w:rFonts w:asciiTheme="minorHAnsi" w:hAnsiTheme="minorHAnsi"/>
                <w:color w:val="FFFFFF" w:themeColor="background1"/>
                <w:sz w:val="20"/>
              </w:rPr>
            </w:pPr>
            <w:r w:rsidRPr="00A56707">
              <w:rPr>
                <w:rFonts w:asciiTheme="minorHAnsi" w:hAnsiTheme="minorHAnsi"/>
                <w:sz w:val="20"/>
              </w:rPr>
              <w:t>áno – v prípade, ak projekt vedie k zvýšeniu kapacity zariadení sociálnych služieb</w:t>
            </w:r>
          </w:p>
        </w:tc>
      </w:tr>
    </w:tbl>
    <w:p w14:paraId="6887E217" w14:textId="1DCC2224" w:rsidR="00056CF6" w:rsidRDefault="00056CF6">
      <w:pPr>
        <w:rPr>
          <w:rFonts w:asciiTheme="minorHAnsi" w:hAnsiTheme="minorHAnsi"/>
          <w:i/>
          <w:highlight w:val="yellow"/>
        </w:rPr>
      </w:pPr>
    </w:p>
    <w:p w14:paraId="3B469360" w14:textId="1D908A9E" w:rsidR="005F39E6" w:rsidRDefault="005F39E6">
      <w:pPr>
        <w:rPr>
          <w:rFonts w:asciiTheme="minorHAnsi" w:hAnsiTheme="minorHAnsi"/>
          <w:i/>
          <w:highlight w:val="yellow"/>
        </w:rPr>
      </w:pPr>
    </w:p>
    <w:p w14:paraId="4D22807A" w14:textId="5BF2CAA3" w:rsidR="005F39E6" w:rsidRPr="005F39E6" w:rsidRDefault="005F39E6">
      <w:pPr>
        <w:rPr>
          <w:rFonts w:asciiTheme="minorHAnsi" w:hAnsiTheme="minorHAnsi" w:cstheme="minorHAnsi"/>
          <w:iCs/>
          <w:szCs w:val="22"/>
          <w:highlight w:val="yellow"/>
        </w:rPr>
      </w:pPr>
      <w:r w:rsidRPr="005F39E6">
        <w:rPr>
          <w:rFonts w:asciiTheme="minorHAnsi" w:hAnsiTheme="minorHAnsi" w:cstheme="minorHAnsi"/>
          <w:color w:val="333333"/>
          <w:szCs w:val="22"/>
          <w:shd w:val="clear" w:color="auto" w:fill="FFFFFF"/>
        </w:rPr>
        <w:t>Žiadateľ je povinný stanoviť „nenulovú“ cieľovú hodnotu pre tie merateľné ukazovatele projektu, ktoré majú byť realizáciou navrhovaných aktivít dosiahnuté. Žiadateľ je povinný stanoviť „nenulovú“ cieľovú hodnotu pre povinné merateľné ukazovatele, t.j. ukazovatele označené ako „áno“ bez d</w:t>
      </w:r>
      <w:r w:rsidR="0081260B">
        <w:rPr>
          <w:rFonts w:asciiTheme="minorHAnsi" w:hAnsiTheme="minorHAnsi" w:cstheme="minorHAnsi"/>
          <w:color w:val="333333"/>
          <w:szCs w:val="22"/>
          <w:shd w:val="clear" w:color="auto" w:fill="FFFFFF"/>
        </w:rPr>
        <w:t>ô</w:t>
      </w:r>
      <w:r w:rsidRPr="005F39E6">
        <w:rPr>
          <w:rFonts w:asciiTheme="minorHAnsi" w:hAnsiTheme="minorHAnsi" w:cstheme="minorHAnsi"/>
          <w:color w:val="333333"/>
          <w:szCs w:val="22"/>
          <w:shd w:val="clear" w:color="auto" w:fill="FFFFFF"/>
        </w:rPr>
        <w:t>vetku.</w:t>
      </w:r>
      <w:r w:rsidRPr="005F39E6">
        <w:rPr>
          <w:rFonts w:asciiTheme="minorHAnsi" w:hAnsiTheme="minorHAnsi" w:cstheme="minorHAnsi"/>
          <w:color w:val="333333"/>
          <w:szCs w:val="22"/>
        </w:rPr>
        <w:br/>
      </w:r>
      <w:r w:rsidRPr="005F39E6">
        <w:rPr>
          <w:rFonts w:asciiTheme="minorHAnsi" w:hAnsiTheme="minorHAnsi" w:cstheme="minorHAnsi"/>
          <w:color w:val="333333"/>
          <w:szCs w:val="22"/>
          <w:shd w:val="clear" w:color="auto" w:fill="FFFFFF"/>
        </w:rPr>
        <w:t>Projekt bez príspevku k naplneniu povinných merateľných ukazovateľov nebude schválený.</w:t>
      </w:r>
      <w:r w:rsidRPr="005F39E6">
        <w:rPr>
          <w:rFonts w:asciiTheme="minorHAnsi" w:hAnsiTheme="minorHAnsi" w:cstheme="minorHAnsi"/>
          <w:color w:val="333333"/>
          <w:szCs w:val="22"/>
        </w:rPr>
        <w:br/>
      </w:r>
      <w:r w:rsidRPr="005F39E6">
        <w:rPr>
          <w:rFonts w:asciiTheme="minorHAnsi" w:hAnsiTheme="minorHAnsi" w:cstheme="minorHAnsi"/>
          <w:color w:val="333333"/>
          <w:szCs w:val="22"/>
        </w:rPr>
        <w:br/>
      </w:r>
      <w:r w:rsidRPr="006E5DBC">
        <w:rPr>
          <w:rFonts w:asciiTheme="minorHAnsi" w:hAnsiTheme="minorHAnsi" w:cstheme="minorHAnsi"/>
          <w:b/>
          <w:bCs/>
          <w:color w:val="333333"/>
          <w:szCs w:val="22"/>
          <w:shd w:val="clear" w:color="auto" w:fill="FFFFFF"/>
        </w:rPr>
        <w:t>Upozornenie:</w:t>
      </w:r>
      <w:r w:rsidRPr="005F39E6">
        <w:rPr>
          <w:rFonts w:asciiTheme="minorHAnsi" w:hAnsiTheme="minorHAnsi" w:cstheme="minorHAnsi"/>
          <w:color w:val="333333"/>
          <w:szCs w:val="22"/>
          <w:shd w:val="clear" w:color="auto" w:fill="FFFFFF"/>
        </w:rPr>
        <w:t xml:space="preserve"> V súvislosti so stanovením cieľových hodnôt merateľných ukazovateľov (z pohľadu ich reálnosti) si dovoľujeme upozorniť na sankčný mechanizmus definovaný v zmluve o príspevku vo vzťahu k miere skutočného plnenia cieľových hodnôt merateľných ukazovateľov. V prípade odchýlky, ktor</w:t>
      </w:r>
      <w:r w:rsidR="0081260B">
        <w:rPr>
          <w:rFonts w:asciiTheme="minorHAnsi" w:hAnsiTheme="minorHAnsi" w:cstheme="minorHAnsi"/>
          <w:color w:val="333333"/>
          <w:szCs w:val="22"/>
          <w:shd w:val="clear" w:color="auto" w:fill="FFFFFF"/>
        </w:rPr>
        <w:t>á</w:t>
      </w:r>
      <w:r w:rsidRPr="005F39E6">
        <w:rPr>
          <w:rFonts w:asciiTheme="minorHAnsi" w:hAnsiTheme="minorHAnsi" w:cstheme="minorHAnsi"/>
          <w:color w:val="333333"/>
          <w:szCs w:val="22"/>
          <w:shd w:val="clear" w:color="auto" w:fill="FFFFFF"/>
        </w:rPr>
        <w:t xml:space="preserve"> nebude v zmysle pravidiel sankčného mechanizmu akceptovateľná (či už z dôvodu výšky odchýlky, alebo objektívnych dôvodov príčin jej vzniku) bude výška príspevku skrátená v zodpovedajúcej výške.</w:t>
      </w:r>
    </w:p>
    <w:sectPr w:rsidR="005F39E6" w:rsidRPr="005F39E6" w:rsidSect="005E6B6E">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74" w:right="1276" w:bottom="822" w:left="1247" w:header="850" w:footer="709" w:gutter="454"/>
      <w:cols w:space="73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1AD9A" w14:textId="77777777" w:rsidR="00815E78" w:rsidRDefault="00815E78">
      <w:r>
        <w:separator/>
      </w:r>
    </w:p>
  </w:endnote>
  <w:endnote w:type="continuationSeparator" w:id="0">
    <w:p w14:paraId="1085CE33" w14:textId="77777777" w:rsidR="00815E78" w:rsidRDefault="00815E78">
      <w:r>
        <w:continuationSeparator/>
      </w:r>
    </w:p>
  </w:endnote>
  <w:endnote w:type="continuationNotice" w:id="1">
    <w:p w14:paraId="68F3A190" w14:textId="77777777" w:rsidR="00815E78" w:rsidRDefault="00815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A3CD3" w14:textId="77777777" w:rsidR="00A56707" w:rsidRDefault="00A567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D55CC" w14:textId="77777777" w:rsidR="00A56707" w:rsidRDefault="00A5670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3B8E" w14:textId="77777777" w:rsidR="00A56707" w:rsidRDefault="00A5670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6F3CC" w14:textId="77777777" w:rsidR="00815E78" w:rsidRDefault="00815E78">
      <w:r>
        <w:separator/>
      </w:r>
    </w:p>
  </w:footnote>
  <w:footnote w:type="continuationSeparator" w:id="0">
    <w:p w14:paraId="49E6E204" w14:textId="77777777" w:rsidR="00815E78" w:rsidRDefault="00815E78">
      <w:r>
        <w:continuationSeparator/>
      </w:r>
    </w:p>
  </w:footnote>
  <w:footnote w:type="continuationNotice" w:id="1">
    <w:p w14:paraId="095ECEB4" w14:textId="77777777" w:rsidR="00815E78" w:rsidRDefault="00815E78"/>
  </w:footnote>
  <w:footnote w:id="2">
    <w:p w14:paraId="29D51089" w14:textId="03FE5D6A" w:rsidR="00672970" w:rsidRPr="001A6EA1" w:rsidRDefault="00672970" w:rsidP="008F43B6">
      <w:pPr>
        <w:pStyle w:val="Textpoznmkypodiarou"/>
        <w:ind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t>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6DE81C7B" w14:textId="77777777" w:rsidR="00672970" w:rsidRPr="001A6EA1" w:rsidRDefault="00672970" w:rsidP="008F43B6">
      <w:pPr>
        <w:pStyle w:val="Textpoznmkypodiarou"/>
        <w:ind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ny princíp Udržateľný rozvoj, RMŽaND</w:t>
      </w:r>
      <w:r w:rsidRPr="001A6EA1">
        <w:rPr>
          <w:rFonts w:asciiTheme="minorHAnsi" w:hAnsiTheme="minorHAnsi"/>
        </w:rPr>
        <w:t xml:space="preserve"> – Horizontálny princíp Rovnosť medzi mužmi a ženami a nediskriminácia, N/A - nerelevantné</w:t>
      </w:r>
    </w:p>
  </w:footnote>
  <w:footnote w:id="4">
    <w:p w14:paraId="533411D2" w14:textId="51E2991E" w:rsidR="0072481E" w:rsidRDefault="0072481E">
      <w:pPr>
        <w:pStyle w:val="Textpoznmkypodiarou"/>
      </w:pPr>
      <w:r>
        <w:rPr>
          <w:rStyle w:val="Odkaznapoznmkupodiarou"/>
        </w:rPr>
        <w:footnoteRef/>
      </w:r>
      <w:r>
        <w:t xml:space="preserve"> Kód ukazovateľa C 103 je totožný s kódom ukazovateľa  C104,</w:t>
      </w:r>
      <w:r w:rsidR="001332C3">
        <w:t xml:space="preserve"> </w:t>
      </w:r>
      <w:r>
        <w:t>ktorý je uvedený v</w:t>
      </w:r>
      <w:r w:rsidR="001332C3">
        <w:t xml:space="preserve"> schválenom </w:t>
      </w:r>
      <w:r>
        <w:t>koncepte implementácie</w:t>
      </w:r>
      <w:r w:rsidR="001332C3">
        <w:t xml:space="preserve"> stratégie CLLD</w:t>
      </w:r>
      <w:r>
        <w:t xml:space="preserve"> 3f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2EDB" w14:textId="77777777" w:rsidR="00A56707" w:rsidRDefault="00A5670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7E2E" w14:textId="77777777" w:rsidR="00A56707" w:rsidRDefault="00A5670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24B7B" w14:textId="1A75EF4B" w:rsidR="0068474B" w:rsidRPr="001F013A" w:rsidRDefault="00A56707" w:rsidP="0068474B">
    <w:pPr>
      <w:pStyle w:val="Hlavika"/>
      <w:rPr>
        <w:rFonts w:ascii="Arial Narrow" w:hAnsi="Arial Narrow"/>
        <w:sz w:val="20"/>
      </w:rPr>
    </w:pPr>
    <w:r>
      <w:rPr>
        <w:noProof/>
        <w:lang w:eastAsia="sk-SK"/>
      </w:rPr>
      <w:drawing>
        <wp:anchor distT="0" distB="0" distL="114300" distR="114300" simplePos="0" relativeHeight="251664384" behindDoc="1" locked="0" layoutInCell="1" allowOverlap="1" wp14:anchorId="17B0E155" wp14:editId="17E986C1">
          <wp:simplePos x="0" y="0"/>
          <wp:positionH relativeFrom="column">
            <wp:posOffset>4202430</wp:posOffset>
          </wp:positionH>
          <wp:positionV relativeFrom="paragraph">
            <wp:posOffset>-76163</wp:posOffset>
          </wp:positionV>
          <wp:extent cx="1906426" cy="447675"/>
          <wp:effectExtent l="0" t="0" r="0" b="0"/>
          <wp:wrapNone/>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426"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lang w:eastAsia="sk-SK"/>
      </w:rPr>
      <w:drawing>
        <wp:anchor distT="0" distB="0" distL="114300" distR="114300" simplePos="0" relativeHeight="251661312" behindDoc="1" locked="0" layoutInCell="1" allowOverlap="1" wp14:anchorId="5F6AD58A" wp14:editId="0ABED025">
          <wp:simplePos x="0" y="0"/>
          <wp:positionH relativeFrom="column">
            <wp:posOffset>7050405</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5"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lang w:eastAsia="sk-SK"/>
      </w:rPr>
      <w:drawing>
        <wp:anchor distT="0" distB="0" distL="114300" distR="114300" simplePos="0" relativeHeight="251659264" behindDoc="1" locked="0" layoutInCell="1" allowOverlap="1" wp14:anchorId="7A733565" wp14:editId="5025EA93">
          <wp:simplePos x="0" y="0"/>
          <wp:positionH relativeFrom="column">
            <wp:posOffset>2257425</wp:posOffset>
          </wp:positionH>
          <wp:positionV relativeFrom="paragraph">
            <wp:posOffset>-162560</wp:posOffset>
          </wp:positionV>
          <wp:extent cx="638175" cy="534670"/>
          <wp:effectExtent l="0" t="0" r="9525" b="0"/>
          <wp:wrapTight wrapText="bothSides">
            <wp:wrapPolygon edited="0">
              <wp:start x="2579" y="0"/>
              <wp:lineTo x="2579" y="12314"/>
              <wp:lineTo x="0" y="14622"/>
              <wp:lineTo x="0" y="19240"/>
              <wp:lineTo x="5158" y="20779"/>
              <wp:lineTo x="16119" y="20779"/>
              <wp:lineTo x="21278" y="19240"/>
              <wp:lineTo x="21278" y="15392"/>
              <wp:lineTo x="18699" y="12314"/>
              <wp:lineTo x="18699" y="0"/>
              <wp:lineTo x="2579" y="0"/>
            </wp:wrapPolygon>
          </wp:wrapTight>
          <wp:docPr id="22"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38175" cy="5346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noProof/>
        <w:sz w:val="20"/>
        <w:lang w:eastAsia="sk-SK"/>
      </w:rPr>
      <w:drawing>
        <wp:anchor distT="0" distB="0" distL="114300" distR="114300" simplePos="0" relativeHeight="251665408" behindDoc="1" locked="0" layoutInCell="1" allowOverlap="1" wp14:anchorId="39E2841C" wp14:editId="57FF376E">
          <wp:simplePos x="0" y="0"/>
          <wp:positionH relativeFrom="column">
            <wp:posOffset>200025</wp:posOffset>
          </wp:positionH>
          <wp:positionV relativeFrom="paragraph">
            <wp:posOffset>-364490</wp:posOffset>
          </wp:positionV>
          <wp:extent cx="830580" cy="872043"/>
          <wp:effectExtent l="0" t="0" r="762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4">
                    <a:extLst>
                      <a:ext uri="{28A0092B-C50C-407E-A947-70E740481C1C}">
                        <a14:useLocalDpi xmlns:a14="http://schemas.microsoft.com/office/drawing/2010/main" val="0"/>
                      </a:ext>
                    </a:extLst>
                  </a:blip>
                  <a:stretch>
                    <a:fillRect/>
                  </a:stretch>
                </pic:blipFill>
                <pic:spPr>
                  <a:xfrm flipH="1">
                    <a:off x="0" y="0"/>
                    <a:ext cx="834008" cy="875642"/>
                  </a:xfrm>
                  <a:prstGeom prst="rect">
                    <a:avLst/>
                  </a:prstGeom>
                </pic:spPr>
              </pic:pic>
            </a:graphicData>
          </a:graphic>
          <wp14:sizeRelH relativeFrom="margin">
            <wp14:pctWidth>0</wp14:pctWidth>
          </wp14:sizeRelH>
          <wp14:sizeRelV relativeFrom="margin">
            <wp14:pctHeight>0</wp14:pctHeight>
          </wp14:sizeRelV>
        </wp:anchor>
      </w:drawing>
    </w:r>
  </w:p>
  <w:p w14:paraId="19568979" w14:textId="77777777" w:rsidR="0068474B" w:rsidRDefault="0068474B" w:rsidP="0068474B">
    <w:pPr>
      <w:pStyle w:val="Hlavika"/>
      <w:jc w:val="left"/>
      <w:rPr>
        <w:rFonts w:ascii="Arial Narrow" w:hAnsi="Arial Narrow" w:cs="Arial"/>
        <w:sz w:val="20"/>
      </w:rPr>
    </w:pPr>
  </w:p>
  <w:p w14:paraId="27E4ADFE" w14:textId="75079D9B" w:rsidR="0068474B" w:rsidRDefault="0068474B" w:rsidP="0068474B">
    <w:pPr>
      <w:pStyle w:val="Hlavika"/>
      <w:rPr>
        <w:rFonts w:ascii="Arial Narrow" w:hAnsi="Arial Narrow" w:cs="Arial"/>
        <w:sz w:val="20"/>
      </w:rPr>
    </w:pPr>
  </w:p>
  <w:p w14:paraId="0AF3A43F" w14:textId="1C7645BD" w:rsidR="0068474B" w:rsidRPr="00730D1A" w:rsidRDefault="0068474B" w:rsidP="0068474B">
    <w:pPr>
      <w:pStyle w:val="Hlavika"/>
      <w:rPr>
        <w:rFonts w:ascii="Arial Narrow" w:hAnsi="Arial Narrow" w:cs="Arial"/>
      </w:rPr>
    </w:pPr>
    <w:r w:rsidRPr="002D0E38">
      <w:rPr>
        <w:rFonts w:ascii="Arial Narrow" w:hAnsi="Arial Narrow" w:cs="Arial"/>
        <w:sz w:val="20"/>
      </w:rPr>
      <w:t>Príloha č. 3  výzvy – Zoznam povinných merateľných ukazovateľov projektu</w:t>
    </w:r>
  </w:p>
  <w:p w14:paraId="1D8CEB40" w14:textId="129A5663" w:rsidR="00672970" w:rsidRPr="005E6B6E" w:rsidRDefault="00672970" w:rsidP="005E6B6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7"/>
  </w:num>
  <w:num w:numId="2">
    <w:abstractNumId w:val="18"/>
  </w:num>
  <w:num w:numId="3">
    <w:abstractNumId w:val="38"/>
  </w:num>
  <w:num w:numId="4">
    <w:abstractNumId w:val="1"/>
  </w:num>
  <w:num w:numId="5">
    <w:abstractNumId w:val="0"/>
  </w:num>
  <w:num w:numId="6">
    <w:abstractNumId w:val="3"/>
  </w:num>
  <w:num w:numId="7">
    <w:abstractNumId w:val="6"/>
  </w:num>
  <w:num w:numId="8">
    <w:abstractNumId w:val="9"/>
  </w:num>
  <w:num w:numId="9">
    <w:abstractNumId w:val="8"/>
  </w:num>
  <w:num w:numId="10">
    <w:abstractNumId w:val="15"/>
  </w:num>
  <w:num w:numId="11">
    <w:abstractNumId w:val="30"/>
  </w:num>
  <w:num w:numId="12">
    <w:abstractNumId w:val="25"/>
  </w:num>
  <w:num w:numId="13">
    <w:abstractNumId w:val="20"/>
  </w:num>
  <w:num w:numId="14">
    <w:abstractNumId w:val="10"/>
  </w:num>
  <w:num w:numId="15">
    <w:abstractNumId w:val="26"/>
  </w:num>
  <w:num w:numId="16">
    <w:abstractNumId w:val="23"/>
  </w:num>
  <w:num w:numId="17">
    <w:abstractNumId w:val="4"/>
  </w:num>
  <w:num w:numId="18">
    <w:abstractNumId w:val="24"/>
  </w:num>
  <w:num w:numId="19">
    <w:abstractNumId w:val="12"/>
  </w:num>
  <w:num w:numId="20">
    <w:abstractNumId w:val="29"/>
  </w:num>
  <w:num w:numId="21">
    <w:abstractNumId w:val="22"/>
  </w:num>
  <w:num w:numId="22">
    <w:abstractNumId w:val="16"/>
  </w:num>
  <w:num w:numId="23">
    <w:abstractNumId w:val="35"/>
  </w:num>
  <w:num w:numId="24">
    <w:abstractNumId w:val="11"/>
  </w:num>
  <w:num w:numId="25">
    <w:abstractNumId w:val="19"/>
  </w:num>
  <w:num w:numId="26">
    <w:abstractNumId w:val="2"/>
  </w:num>
  <w:num w:numId="27">
    <w:abstractNumId w:val="33"/>
  </w:num>
  <w:num w:numId="28">
    <w:abstractNumId w:val="36"/>
  </w:num>
  <w:num w:numId="29">
    <w:abstractNumId w:val="32"/>
  </w:num>
  <w:num w:numId="30">
    <w:abstractNumId w:val="34"/>
  </w:num>
  <w:num w:numId="31">
    <w:abstractNumId w:val="31"/>
  </w:num>
  <w:num w:numId="32">
    <w:abstractNumId w:val="14"/>
  </w:num>
  <w:num w:numId="33">
    <w:abstractNumId w:val="5"/>
  </w:num>
  <w:num w:numId="34">
    <w:abstractNumId w:val="37"/>
  </w:num>
  <w:num w:numId="35">
    <w:abstractNumId w:val="7"/>
  </w:num>
  <w:num w:numId="36">
    <w:abstractNumId w:val="21"/>
  </w:num>
  <w:num w:numId="37">
    <w:abstractNumId w:val="13"/>
  </w:num>
  <w:num w:numId="38">
    <w:abstractNumId w:val="28"/>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2173"/>
    <w:rsid w:val="00124E91"/>
    <w:rsid w:val="0013006F"/>
    <w:rsid w:val="0013063E"/>
    <w:rsid w:val="001327B0"/>
    <w:rsid w:val="00132C9D"/>
    <w:rsid w:val="00132D63"/>
    <w:rsid w:val="001332C3"/>
    <w:rsid w:val="00133F2F"/>
    <w:rsid w:val="00135AA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5B7F"/>
    <w:rsid w:val="00187CA6"/>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D3F"/>
    <w:rsid w:val="002D3A19"/>
    <w:rsid w:val="002D4FE1"/>
    <w:rsid w:val="002D72F3"/>
    <w:rsid w:val="002D77FA"/>
    <w:rsid w:val="002E15CA"/>
    <w:rsid w:val="002E21B6"/>
    <w:rsid w:val="002E4DBB"/>
    <w:rsid w:val="002E543E"/>
    <w:rsid w:val="002E65AB"/>
    <w:rsid w:val="002E7C41"/>
    <w:rsid w:val="002F0ACE"/>
    <w:rsid w:val="002F0E07"/>
    <w:rsid w:val="002F20AC"/>
    <w:rsid w:val="002F2577"/>
    <w:rsid w:val="002F2AB0"/>
    <w:rsid w:val="002F33B4"/>
    <w:rsid w:val="002F58BC"/>
    <w:rsid w:val="00301EA2"/>
    <w:rsid w:val="003054AB"/>
    <w:rsid w:val="00305F67"/>
    <w:rsid w:val="00311039"/>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D7BD7"/>
    <w:rsid w:val="003E1112"/>
    <w:rsid w:val="003E16E4"/>
    <w:rsid w:val="003E1A0D"/>
    <w:rsid w:val="003E1D53"/>
    <w:rsid w:val="003E2EDF"/>
    <w:rsid w:val="003E2EE6"/>
    <w:rsid w:val="003E3F53"/>
    <w:rsid w:val="003E400B"/>
    <w:rsid w:val="003E5C93"/>
    <w:rsid w:val="003E7105"/>
    <w:rsid w:val="003F01E7"/>
    <w:rsid w:val="003F0C66"/>
    <w:rsid w:val="003F4228"/>
    <w:rsid w:val="003F6D09"/>
    <w:rsid w:val="003F70EB"/>
    <w:rsid w:val="003F78C9"/>
    <w:rsid w:val="00401129"/>
    <w:rsid w:val="004021AB"/>
    <w:rsid w:val="004029E8"/>
    <w:rsid w:val="00403689"/>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44B0"/>
    <w:rsid w:val="00474BAA"/>
    <w:rsid w:val="00474EBA"/>
    <w:rsid w:val="00475875"/>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6AD5"/>
    <w:rsid w:val="004A7A80"/>
    <w:rsid w:val="004B0FBF"/>
    <w:rsid w:val="004B135B"/>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38"/>
    <w:rsid w:val="004D61F5"/>
    <w:rsid w:val="004D686B"/>
    <w:rsid w:val="004D74B1"/>
    <w:rsid w:val="004D79B2"/>
    <w:rsid w:val="004E15D6"/>
    <w:rsid w:val="004E2227"/>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958"/>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3D1"/>
    <w:rsid w:val="00580DFA"/>
    <w:rsid w:val="0058257F"/>
    <w:rsid w:val="00583792"/>
    <w:rsid w:val="00583907"/>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7363"/>
    <w:rsid w:val="005B1D44"/>
    <w:rsid w:val="005B253C"/>
    <w:rsid w:val="005B3778"/>
    <w:rsid w:val="005B468B"/>
    <w:rsid w:val="005B4C3D"/>
    <w:rsid w:val="005B4FE6"/>
    <w:rsid w:val="005B56D7"/>
    <w:rsid w:val="005B5A8C"/>
    <w:rsid w:val="005C0464"/>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39E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782"/>
    <w:rsid w:val="00635B95"/>
    <w:rsid w:val="006422EB"/>
    <w:rsid w:val="00642FBC"/>
    <w:rsid w:val="006434FF"/>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70"/>
    <w:rsid w:val="006729DD"/>
    <w:rsid w:val="00673492"/>
    <w:rsid w:val="00673883"/>
    <w:rsid w:val="0067485E"/>
    <w:rsid w:val="00674B4D"/>
    <w:rsid w:val="00675D1B"/>
    <w:rsid w:val="006772F8"/>
    <w:rsid w:val="00680761"/>
    <w:rsid w:val="00681F90"/>
    <w:rsid w:val="0068474B"/>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4B0"/>
    <w:rsid w:val="006E357A"/>
    <w:rsid w:val="006E3A49"/>
    <w:rsid w:val="006E4652"/>
    <w:rsid w:val="006E4E1D"/>
    <w:rsid w:val="006E59A2"/>
    <w:rsid w:val="006E5DBC"/>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481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657D"/>
    <w:rsid w:val="0076674D"/>
    <w:rsid w:val="007679DA"/>
    <w:rsid w:val="00771F25"/>
    <w:rsid w:val="00772ADF"/>
    <w:rsid w:val="007737D7"/>
    <w:rsid w:val="007738F7"/>
    <w:rsid w:val="0077442F"/>
    <w:rsid w:val="00774E93"/>
    <w:rsid w:val="00776D66"/>
    <w:rsid w:val="007772B6"/>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60B"/>
    <w:rsid w:val="0081289C"/>
    <w:rsid w:val="00813C6C"/>
    <w:rsid w:val="00813FA7"/>
    <w:rsid w:val="008144FA"/>
    <w:rsid w:val="00814A91"/>
    <w:rsid w:val="00814E9A"/>
    <w:rsid w:val="00815E78"/>
    <w:rsid w:val="00823B00"/>
    <w:rsid w:val="008245B9"/>
    <w:rsid w:val="008254D4"/>
    <w:rsid w:val="00825D5C"/>
    <w:rsid w:val="00827936"/>
    <w:rsid w:val="00830573"/>
    <w:rsid w:val="00831CF8"/>
    <w:rsid w:val="00832028"/>
    <w:rsid w:val="00832EAD"/>
    <w:rsid w:val="00832F4E"/>
    <w:rsid w:val="00833113"/>
    <w:rsid w:val="00833D4D"/>
    <w:rsid w:val="00837F0C"/>
    <w:rsid w:val="00840492"/>
    <w:rsid w:val="00841113"/>
    <w:rsid w:val="00841515"/>
    <w:rsid w:val="00841F8A"/>
    <w:rsid w:val="00842167"/>
    <w:rsid w:val="0084223E"/>
    <w:rsid w:val="008422F8"/>
    <w:rsid w:val="00843AB0"/>
    <w:rsid w:val="00843C1B"/>
    <w:rsid w:val="008462FE"/>
    <w:rsid w:val="0084746A"/>
    <w:rsid w:val="008514FE"/>
    <w:rsid w:val="008538DD"/>
    <w:rsid w:val="008555F7"/>
    <w:rsid w:val="00856848"/>
    <w:rsid w:val="00857689"/>
    <w:rsid w:val="00861FBA"/>
    <w:rsid w:val="008621A7"/>
    <w:rsid w:val="00862B1B"/>
    <w:rsid w:val="0086371B"/>
    <w:rsid w:val="00865166"/>
    <w:rsid w:val="008663F9"/>
    <w:rsid w:val="00866E72"/>
    <w:rsid w:val="008672C7"/>
    <w:rsid w:val="00870417"/>
    <w:rsid w:val="0087121B"/>
    <w:rsid w:val="008718D1"/>
    <w:rsid w:val="0087201F"/>
    <w:rsid w:val="00873029"/>
    <w:rsid w:val="008735AD"/>
    <w:rsid w:val="0087497A"/>
    <w:rsid w:val="00876FA8"/>
    <w:rsid w:val="008803EE"/>
    <w:rsid w:val="00880EB6"/>
    <w:rsid w:val="00882FF6"/>
    <w:rsid w:val="00885249"/>
    <w:rsid w:val="008863BF"/>
    <w:rsid w:val="00886DA5"/>
    <w:rsid w:val="00886FE3"/>
    <w:rsid w:val="008900F1"/>
    <w:rsid w:val="00890162"/>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2A0"/>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609"/>
    <w:rsid w:val="00944C4C"/>
    <w:rsid w:val="0094619C"/>
    <w:rsid w:val="009469FC"/>
    <w:rsid w:val="009470B4"/>
    <w:rsid w:val="009506CB"/>
    <w:rsid w:val="00950988"/>
    <w:rsid w:val="00951595"/>
    <w:rsid w:val="009520C3"/>
    <w:rsid w:val="00952249"/>
    <w:rsid w:val="00952DF0"/>
    <w:rsid w:val="00955E83"/>
    <w:rsid w:val="00956C97"/>
    <w:rsid w:val="009608E5"/>
    <w:rsid w:val="009609A0"/>
    <w:rsid w:val="0096171B"/>
    <w:rsid w:val="00966A77"/>
    <w:rsid w:val="00971B50"/>
    <w:rsid w:val="00973FF9"/>
    <w:rsid w:val="00974DC9"/>
    <w:rsid w:val="009755B7"/>
    <w:rsid w:val="00975E20"/>
    <w:rsid w:val="0097635D"/>
    <w:rsid w:val="009806FC"/>
    <w:rsid w:val="00980823"/>
    <w:rsid w:val="0098173E"/>
    <w:rsid w:val="00981C19"/>
    <w:rsid w:val="009834EA"/>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38C"/>
    <w:rsid w:val="00A44F86"/>
    <w:rsid w:val="00A458AF"/>
    <w:rsid w:val="00A45BE5"/>
    <w:rsid w:val="00A50BF9"/>
    <w:rsid w:val="00A51395"/>
    <w:rsid w:val="00A52621"/>
    <w:rsid w:val="00A52A55"/>
    <w:rsid w:val="00A53CDB"/>
    <w:rsid w:val="00A56707"/>
    <w:rsid w:val="00A56914"/>
    <w:rsid w:val="00A614EE"/>
    <w:rsid w:val="00A62810"/>
    <w:rsid w:val="00A64EC9"/>
    <w:rsid w:val="00A650E4"/>
    <w:rsid w:val="00A65A29"/>
    <w:rsid w:val="00A675B8"/>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1E58"/>
    <w:rsid w:val="00B13781"/>
    <w:rsid w:val="00B155EB"/>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2C4F"/>
    <w:rsid w:val="00BA2F3A"/>
    <w:rsid w:val="00BA4F5E"/>
    <w:rsid w:val="00BA6B8A"/>
    <w:rsid w:val="00BA7127"/>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631B"/>
    <w:rsid w:val="00C16EFB"/>
    <w:rsid w:val="00C174C9"/>
    <w:rsid w:val="00C17B70"/>
    <w:rsid w:val="00C17DE6"/>
    <w:rsid w:val="00C20E06"/>
    <w:rsid w:val="00C21380"/>
    <w:rsid w:val="00C22209"/>
    <w:rsid w:val="00C23265"/>
    <w:rsid w:val="00C27568"/>
    <w:rsid w:val="00C3162D"/>
    <w:rsid w:val="00C32495"/>
    <w:rsid w:val="00C328E2"/>
    <w:rsid w:val="00C32FBD"/>
    <w:rsid w:val="00C33FA9"/>
    <w:rsid w:val="00C362E6"/>
    <w:rsid w:val="00C37214"/>
    <w:rsid w:val="00C37D62"/>
    <w:rsid w:val="00C428C5"/>
    <w:rsid w:val="00C43309"/>
    <w:rsid w:val="00C44E70"/>
    <w:rsid w:val="00C464DD"/>
    <w:rsid w:val="00C500F4"/>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6992"/>
    <w:rsid w:val="00C67D92"/>
    <w:rsid w:val="00C702EF"/>
    <w:rsid w:val="00C7099A"/>
    <w:rsid w:val="00C71EEC"/>
    <w:rsid w:val="00C72742"/>
    <w:rsid w:val="00C73D5E"/>
    <w:rsid w:val="00C754A5"/>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C01B3"/>
    <w:rsid w:val="00CC23BF"/>
    <w:rsid w:val="00CC2735"/>
    <w:rsid w:val="00CC4F82"/>
    <w:rsid w:val="00CC5445"/>
    <w:rsid w:val="00CC6F3C"/>
    <w:rsid w:val="00CC75E3"/>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D7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7569"/>
    <w:rsid w:val="00DA1BFE"/>
    <w:rsid w:val="00DA1D00"/>
    <w:rsid w:val="00DA22DA"/>
    <w:rsid w:val="00DA2FC5"/>
    <w:rsid w:val="00DA4B05"/>
    <w:rsid w:val="00DA4EAF"/>
    <w:rsid w:val="00DA55A9"/>
    <w:rsid w:val="00DA5749"/>
    <w:rsid w:val="00DA582F"/>
    <w:rsid w:val="00DA66F4"/>
    <w:rsid w:val="00DA7149"/>
    <w:rsid w:val="00DA7189"/>
    <w:rsid w:val="00DA782C"/>
    <w:rsid w:val="00DB462C"/>
    <w:rsid w:val="00DB64F5"/>
    <w:rsid w:val="00DB6AE0"/>
    <w:rsid w:val="00DC09FD"/>
    <w:rsid w:val="00DC3EDF"/>
    <w:rsid w:val="00DC3EE8"/>
    <w:rsid w:val="00DC41B2"/>
    <w:rsid w:val="00DC5A1D"/>
    <w:rsid w:val="00DC7E42"/>
    <w:rsid w:val="00DD110C"/>
    <w:rsid w:val="00DD17ED"/>
    <w:rsid w:val="00DD206D"/>
    <w:rsid w:val="00DD2465"/>
    <w:rsid w:val="00DD4833"/>
    <w:rsid w:val="00DD5D8C"/>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8"/>
    <w:rsid w:val="00EB5BBA"/>
    <w:rsid w:val="00EB78E4"/>
    <w:rsid w:val="00EB7B3A"/>
    <w:rsid w:val="00EB7BB9"/>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E63F0"/>
    <w:rsid w:val="00EF1C28"/>
    <w:rsid w:val="00EF28BB"/>
    <w:rsid w:val="00EF37B8"/>
    <w:rsid w:val="00EF3C47"/>
    <w:rsid w:val="00EF66D9"/>
    <w:rsid w:val="00EF7265"/>
    <w:rsid w:val="00EF7F9E"/>
    <w:rsid w:val="00F0154F"/>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6567"/>
    <w:rsid w:val="00F1717D"/>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87D"/>
    <w:rsid w:val="00F4449D"/>
    <w:rsid w:val="00F462EF"/>
    <w:rsid w:val="00F46759"/>
    <w:rsid w:val="00F4777B"/>
    <w:rsid w:val="00F47842"/>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3D18"/>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D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Sil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Intenzvny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C676C77735410FB637C50E37D9C4C1"/>
        <w:category>
          <w:name w:val="Všeobecné"/>
          <w:gallery w:val="placeholder"/>
        </w:category>
        <w:types>
          <w:type w:val="bbPlcHdr"/>
        </w:types>
        <w:behaviors>
          <w:behavior w:val="content"/>
        </w:behaviors>
        <w:guid w:val="{6F7D7590-FF6D-415A-AD5E-BFCC8EBEA4DB}"/>
      </w:docPartPr>
      <w:docPartBody>
        <w:p w:rsidR="00D44CE6" w:rsidRDefault="00D44CE6" w:rsidP="00D44CE6">
          <w:pPr>
            <w:pStyle w:val="6FC676C77735410FB637C50E37D9C4C1"/>
          </w:pPr>
          <w:r w:rsidRPr="00494B4C">
            <w:rPr>
              <w:rStyle w:val="Zstupntext"/>
            </w:rPr>
            <w:t>Vyberte položku.</w:t>
          </w:r>
        </w:p>
      </w:docPartBody>
    </w:docPart>
    <w:docPart>
      <w:docPartPr>
        <w:name w:val="9690AA6004EE46ECBE426C7351BE9DD3"/>
        <w:category>
          <w:name w:val="Všeobecné"/>
          <w:gallery w:val="placeholder"/>
        </w:category>
        <w:types>
          <w:type w:val="bbPlcHdr"/>
        </w:types>
        <w:behaviors>
          <w:behavior w:val="content"/>
        </w:behaviors>
        <w:guid w:val="{C09A502B-E7F4-4805-B1FB-441A55E64143}"/>
      </w:docPartPr>
      <w:docPartBody>
        <w:p w:rsidR="00D44CE6" w:rsidRDefault="00D44CE6" w:rsidP="00D44CE6">
          <w:pPr>
            <w:pStyle w:val="9690AA6004EE46ECBE426C7351BE9DD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80"/>
    <w:rsid w:val="000D0DF6"/>
    <w:rsid w:val="001006EA"/>
    <w:rsid w:val="001A11D3"/>
    <w:rsid w:val="001D000C"/>
    <w:rsid w:val="003A01D9"/>
    <w:rsid w:val="003A1570"/>
    <w:rsid w:val="00441C87"/>
    <w:rsid w:val="006E2383"/>
    <w:rsid w:val="00731084"/>
    <w:rsid w:val="007C3440"/>
    <w:rsid w:val="00970D29"/>
    <w:rsid w:val="00A74980"/>
    <w:rsid w:val="00B62629"/>
    <w:rsid w:val="00C31B9D"/>
    <w:rsid w:val="00C40C5F"/>
    <w:rsid w:val="00CA2517"/>
    <w:rsid w:val="00D44CE6"/>
    <w:rsid w:val="00DA039D"/>
    <w:rsid w:val="00DB3628"/>
    <w:rsid w:val="00E22C87"/>
    <w:rsid w:val="00F56F5D"/>
    <w:rsid w:val="00F77B8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4CE6"/>
    <w:rPr>
      <w:color w:val="808080"/>
    </w:rPr>
  </w:style>
  <w:style w:type="paragraph" w:customStyle="1" w:styleId="6FC676C77735410FB637C50E37D9C4C1">
    <w:name w:val="6FC676C77735410FB637C50E37D9C4C1"/>
    <w:rsid w:val="00D44CE6"/>
  </w:style>
  <w:style w:type="paragraph" w:customStyle="1" w:styleId="9690AA6004EE46ECBE426C7351BE9DD3">
    <w:name w:val="9690AA6004EE46ECBE426C7351BE9DD3"/>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A3AD-9FEE-400B-91C3-354242FB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2497</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2019-08-12T12:04:00Z</dcterms:created>
  <dcterms:modified xsi:type="dcterms:W3CDTF">2021-06-24T11:00:00Z</dcterms:modified>
</cp:coreProperties>
</file>