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A2C65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405DC35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2FDDBBF7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Integrovaný regionálny operačný program</w:t>
      </w:r>
    </w:p>
    <w:p w14:paraId="6880BCFB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2014 – 2020</w:t>
      </w:r>
    </w:p>
    <w:p w14:paraId="2DDEE99D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Prioritná os 5 Miestny rozvoj vedený komunitou</w:t>
      </w:r>
    </w:p>
    <w:p w14:paraId="5BB4EC3F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6D82047" w14:textId="77777777" w:rsidR="007900C1" w:rsidRPr="009B0208" w:rsidRDefault="00B505EC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  <w:r w:rsidRPr="009B0208">
        <w:rPr>
          <w:rFonts w:asciiTheme="minorHAnsi" w:hAnsiTheme="minorHAnsi" w:cstheme="minorHAnsi"/>
          <w:b/>
          <w:color w:val="1F497D"/>
          <w:sz w:val="36"/>
          <w:szCs w:val="36"/>
        </w:rPr>
        <w:t>Špecifikácia rozsahu oprávnených aktivít a oprávnených výdavkov</w:t>
      </w:r>
    </w:p>
    <w:p w14:paraId="6C5B1324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7CFA33A0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259B8287" w14:textId="77777777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59EB4331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17D99F3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1AECEEBA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3A87CF6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072B7663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296965A5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B6D2ED3" w14:textId="77777777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36AA4439" w14:textId="77777777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3D0803F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78C0818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521F6EDD" w14:textId="77777777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0E8F1244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21BC7320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559963D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0685FFE3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89851C6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55EBD28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DB64AC1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 xml:space="preserve">A. Zakladanie nových a podpora existujúcich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mikro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a malých podnikov, samostatne  zárobkovo činných osôb, družstiev</w:t>
            </w:r>
          </w:p>
        </w:tc>
      </w:tr>
      <w:tr w:rsidR="00856D01" w:rsidRPr="009B0208" w14:paraId="1A089E8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E8B88B7" w14:textId="701385CF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</w:t>
            </w:r>
            <w:r w:rsidR="000C506E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inovácií</w:t>
            </w:r>
          </w:p>
        </w:tc>
      </w:tr>
      <w:tr w:rsidR="00856D01" w:rsidRPr="009B0208" w14:paraId="3B28626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7B5CCBF" w14:textId="77777777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747CAE53" w14:textId="77777777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obstaranie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hmotného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majetku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pre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účely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tvorby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pracovných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miest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6E38986A" w14:textId="77777777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nutné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stavebnotechnické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úpravy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budov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spojené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umiestnením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obstaranej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technológie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a/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alebo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s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poskytovaním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nových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služieb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0C3C1ADD" w14:textId="77777777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marketingových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773273">
              <w:rPr>
                <w:rFonts w:asciiTheme="minorHAnsi" w:hAnsiTheme="minorHAnsi" w:cstheme="minorHAnsi"/>
                <w:color w:val="FFFFFF" w:themeColor="background1"/>
              </w:rPr>
              <w:t>aktivít</w:t>
            </w:r>
            <w:proofErr w:type="spellEnd"/>
            <w:r w:rsidRPr="00773273">
              <w:rPr>
                <w:rFonts w:asciiTheme="minorHAnsi" w:hAnsiTheme="minorHAnsi" w:cstheme="minorHAnsi"/>
                <w:color w:val="FFFFFF" w:themeColor="background1"/>
              </w:rPr>
              <w:t>,</w:t>
            </w:r>
          </w:p>
          <w:p w14:paraId="78DF499A" w14:textId="77777777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podpora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miestnych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produkčno-spotrebiteľských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reťazcov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,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sieťovanie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na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úrovni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miestnej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ekonomiky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výmena</w:t>
            </w:r>
            <w:proofErr w:type="spellEnd"/>
            <w:r w:rsidRPr="008563D7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8563D7">
              <w:rPr>
                <w:rFonts w:asciiTheme="minorHAnsi" w:hAnsiTheme="minorHAnsi" w:cstheme="minorHAnsi"/>
                <w:color w:val="FFFFFF" w:themeColor="background1"/>
              </w:rPr>
              <w:t>skúseností</w:t>
            </w:r>
            <w:proofErr w:type="spellEnd"/>
            <w:r w:rsidR="000950EA" w:rsidRPr="008563D7">
              <w:rPr>
                <w:rFonts w:asciiTheme="minorHAnsi" w:hAnsiTheme="minorHAnsi" w:cstheme="minorHAnsi"/>
                <w:color w:val="FFFFFF" w:themeColor="background1"/>
              </w:rPr>
              <w:t>.</w:t>
            </w:r>
          </w:p>
          <w:p w14:paraId="2917976D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918FB74" w14:textId="77777777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1E73563A" w14:textId="77777777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49BFB4AE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Poľnohospodárstvo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lesníctvo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rybolov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5A83473C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B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Ťažba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dobývanie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7950A25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05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uhlia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lignitu</w:t>
            </w:r>
            <w:proofErr w:type="spellEnd"/>
          </w:p>
          <w:p w14:paraId="2570996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06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Ťažba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ropy a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zemného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plynu</w:t>
            </w:r>
            <w:proofErr w:type="spellEnd"/>
          </w:p>
          <w:p w14:paraId="6BB9EE70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07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Dobývanie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kovových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rúd</w:t>
            </w:r>
            <w:proofErr w:type="spellEnd"/>
          </w:p>
          <w:p w14:paraId="56FD3FB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C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Priemyselná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sú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nasledovné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divízie</w:t>
            </w:r>
            <w:proofErr w:type="spellEnd"/>
          </w:p>
          <w:p w14:paraId="4C82213A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10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potravín</w:t>
            </w:r>
            <w:proofErr w:type="spellEnd"/>
          </w:p>
          <w:p w14:paraId="37418E6E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11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nápojov</w:t>
            </w:r>
            <w:proofErr w:type="spellEnd"/>
          </w:p>
          <w:p w14:paraId="6901DC10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12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tabakových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="00985014" w:rsidRPr="004B763F">
              <w:rPr>
                <w:rFonts w:asciiTheme="minorHAnsi" w:hAnsiTheme="minorHAnsi" w:cstheme="minorHAnsi"/>
                <w:color w:val="FFFFFF" w:themeColor="background1"/>
              </w:rPr>
              <w:t>výrobkov</w:t>
            </w:r>
            <w:proofErr w:type="spellEnd"/>
          </w:p>
          <w:p w14:paraId="0764444F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Divízia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19 –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Výroba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koksu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rafinovaných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ropných</w:t>
            </w:r>
            <w:proofErr w:type="spellEnd"/>
            <w:r w:rsidRPr="004B763F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color w:val="FFFFFF" w:themeColor="background1"/>
              </w:rPr>
              <w:t>produktov</w:t>
            </w:r>
            <w:proofErr w:type="spellEnd"/>
          </w:p>
          <w:p w14:paraId="2C9D2CCB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14:paraId="24CC340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</w:pP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D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Dodávka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elektriny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plynu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pary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studeného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vzduchu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–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celá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sekcia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</w:rPr>
              <w:t>neoprávnená</w:t>
            </w:r>
            <w:proofErr w:type="spellEnd"/>
          </w:p>
          <w:p w14:paraId="48F4A092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I – Ubytovacie a stravovacie služby – celá sekcia neoprávnená</w:t>
            </w:r>
          </w:p>
          <w:p w14:paraId="6BC0EB6F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6314FED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3780EE72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684866A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3C97DDD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925E5D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2DEEF1B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Divízia 94 – Činnosti členských organizácií</w:t>
            </w:r>
          </w:p>
          <w:p w14:paraId="42BC1BC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4582656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Sekcia U – Činnosti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extrateritoriálnych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organizácií a združení – celá sekcia neoprávnená</w:t>
            </w:r>
          </w:p>
          <w:p w14:paraId="3678FE87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5AC96047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7A7F5875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02718A73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58D920B0" w14:textId="77777777" w:rsidR="00F64E2F" w:rsidRPr="00F64E2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oblasť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lesníctva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rybolovu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akvakultúry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vidieckeho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cestovného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ruchu</w:t>
            </w:r>
            <w:proofErr w:type="spellEnd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     </w:t>
            </w:r>
            <w:proofErr w:type="spellStart"/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potravinárstva</w:t>
            </w:r>
            <w:proofErr w:type="spellEnd"/>
          </w:p>
          <w:p w14:paraId="1CC7E1A6" w14:textId="77777777" w:rsidR="00F64E2F" w:rsidRPr="00773273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9B0208" w14:paraId="73FAD635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7535BF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62D3E91E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8F8AF27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77646DC4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547A6446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6A319E8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25DCB4" w14:textId="77777777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4990D64F" w14:textId="77777777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54EED1CF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665A785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D88E35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2D44884" w14:textId="7777777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2060A5" w:rsidRPr="009B0208" w14:paraId="5D9A5F89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8F3D4BA" w14:textId="77777777" w:rsidR="002060A5" w:rsidRPr="007723AB" w:rsidRDefault="002060A5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7723AB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D34DE4D" w14:textId="77777777" w:rsidR="002060A5" w:rsidRPr="007723AB" w:rsidRDefault="002060A5" w:rsidP="002060A5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7723AB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automobilov a iných dopravných prostriedkov</w:t>
            </w:r>
          </w:p>
          <w:p w14:paraId="20411E0B" w14:textId="77777777" w:rsidR="002060A5" w:rsidRPr="007723AB" w:rsidRDefault="002060A5" w:rsidP="002060A5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D2A5F63" w14:textId="3BD4035F" w:rsidR="002060A5" w:rsidRPr="007723AB" w:rsidRDefault="002060A5" w:rsidP="002060A5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7723AB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val="sk-SK"/>
              </w:rPr>
              <w:t xml:space="preserve">Nákup vozidiel cestnej nákladnej dopravy nie je oprávnený. </w:t>
            </w:r>
            <w:r w:rsidRPr="007723AB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Uvedené sa týka výlučne žiadateľov, ktorí pôsobia v oblasti cestnej nákladnej dopravy. Nákup nákladného vozidla na prepravu materiálu, alebo tovaru pre účely žiadateľa, teda nie za úplatu pre tretie subjekty je oprávnený.</w:t>
            </w:r>
          </w:p>
        </w:tc>
      </w:tr>
      <w:tr w:rsidR="00856D01" w:rsidRPr="009B0208" w14:paraId="1B7EEA2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64FED4E" w14:textId="77777777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34F7758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5AA232AC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140E1EDE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EEA4CDC" w14:textId="77777777" w:rsidR="00856D01" w:rsidRPr="009B0208" w:rsidRDefault="00856D01" w:rsidP="00884FC7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D937A93" w14:textId="77777777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0DD22D8D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532A2D06" w14:textId="77777777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7CC2DC66" w14:textId="3501D522" w:rsidR="00937035" w:rsidRPr="009B0208" w:rsidRDefault="00937035">
      <w:pPr>
        <w:rPr>
          <w:rFonts w:asciiTheme="minorHAnsi" w:hAnsiTheme="minorHAnsi" w:cstheme="minorHAnsi"/>
        </w:rPr>
      </w:pPr>
    </w:p>
    <w:sectPr w:rsidR="00937035" w:rsidRPr="009B0208" w:rsidSect="00114544">
      <w:headerReference w:type="first" r:id="rId13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A3E4A" w14:textId="77777777" w:rsidR="0022401A" w:rsidRDefault="0022401A" w:rsidP="007900C1">
      <w:r>
        <w:separator/>
      </w:r>
    </w:p>
  </w:endnote>
  <w:endnote w:type="continuationSeparator" w:id="0">
    <w:p w14:paraId="3758BAAC" w14:textId="77777777" w:rsidR="0022401A" w:rsidRDefault="0022401A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53120" w14:textId="545990EC" w:rsidR="00A76425" w:rsidRDefault="00BE7653" w:rsidP="00437D96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8A2F8B" wp14:editId="13F0D06B">
              <wp:simplePos x="0" y="0"/>
              <wp:positionH relativeFrom="column">
                <wp:posOffset>-5080</wp:posOffset>
              </wp:positionH>
              <wp:positionV relativeFrom="paragraph">
                <wp:posOffset>120650</wp:posOffset>
              </wp:positionV>
              <wp:extent cx="9112250" cy="41275"/>
              <wp:effectExtent l="0" t="0" r="12700" b="15875"/>
              <wp:wrapNone/>
              <wp:docPr id="12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112250" cy="41275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7B537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" strokecolor="#8496b0 [1951]" strokeweight="1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B8E0" w14:textId="0D32A213" w:rsidR="00BE7653" w:rsidRDefault="00BE7653">
    <w:pPr>
      <w:pStyle w:val="Pta"/>
    </w:pPr>
  </w:p>
  <w:p w14:paraId="6A807643" w14:textId="5D45CD7E" w:rsidR="00BE7653" w:rsidRDefault="00BE7653">
    <w:pPr>
      <w:pStyle w:val="Pta"/>
    </w:pPr>
  </w:p>
  <w:p w14:paraId="59E93CDA" w14:textId="63D06E7B" w:rsidR="00BE7653" w:rsidRDefault="00BE7653">
    <w:pPr>
      <w:pStyle w:val="Pta"/>
    </w:pPr>
  </w:p>
  <w:p w14:paraId="4E2B451E" w14:textId="6D0760F8" w:rsidR="00BE7653" w:rsidRDefault="00BE7653">
    <w:pPr>
      <w:pStyle w:val="Pta"/>
    </w:pPr>
  </w:p>
  <w:p w14:paraId="4F1FF876" w14:textId="77777777" w:rsidR="00BE7653" w:rsidRDefault="00BE76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76640" w14:textId="77777777" w:rsidR="0022401A" w:rsidRDefault="0022401A" w:rsidP="007900C1">
      <w:r>
        <w:separator/>
      </w:r>
    </w:p>
  </w:footnote>
  <w:footnote w:type="continuationSeparator" w:id="0">
    <w:p w14:paraId="77A17ADF" w14:textId="77777777" w:rsidR="0022401A" w:rsidRDefault="0022401A" w:rsidP="007900C1">
      <w:r>
        <w:continuationSeparator/>
      </w:r>
    </w:p>
  </w:footnote>
  <w:footnote w:id="1">
    <w:p w14:paraId="416C985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8C7D" w14:textId="6975667B" w:rsidR="00A76425" w:rsidRDefault="00BE7653" w:rsidP="000C506E">
    <w:pPr>
      <w:pStyle w:val="Hlavika"/>
      <w:tabs>
        <w:tab w:val="left" w:pos="400"/>
        <w:tab w:val="right" w:pos="14004"/>
      </w:tabs>
      <w:jc w:val="left"/>
    </w:pPr>
    <w:r>
      <w:rPr>
        <w:noProof/>
      </w:rPr>
      <w:drawing>
        <wp:anchor distT="0" distB="0" distL="114300" distR="114300" simplePos="0" relativeHeight="251941376" behindDoc="1" locked="0" layoutInCell="1" allowOverlap="1" wp14:anchorId="4E42B602" wp14:editId="6136DB01">
          <wp:simplePos x="0" y="0"/>
          <wp:positionH relativeFrom="column">
            <wp:posOffset>109855</wp:posOffset>
          </wp:positionH>
          <wp:positionV relativeFrom="paragraph">
            <wp:posOffset>-173355</wp:posOffset>
          </wp:positionV>
          <wp:extent cx="638175" cy="619125"/>
          <wp:effectExtent l="0" t="0" r="0" b="0"/>
          <wp:wrapNone/>
          <wp:docPr id="3" name="Obrázok 10">
            <a:extLst xmlns:a="http://schemas.openxmlformats.org/drawingml/2006/main">
              <a:ext uri="{FF2B5EF4-FFF2-40B4-BE49-F238E27FC236}">
                <a16:creationId xmlns:a16="http://schemas.microsoft.com/office/drawing/2014/main" id="{7F3CB137-7E66-4E15-A390-26435CFF63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7F3CB137-7E66-4E15-A390-26435CFF634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524C1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486720" behindDoc="1" locked="0" layoutInCell="1" allowOverlap="1" wp14:anchorId="1637C19E" wp14:editId="740B97CC">
          <wp:simplePos x="0" y="0"/>
          <wp:positionH relativeFrom="column">
            <wp:posOffset>1405255</wp:posOffset>
          </wp:positionH>
          <wp:positionV relativeFrom="paragraph">
            <wp:posOffset>-81280</wp:posOffset>
          </wp:positionV>
          <wp:extent cx="577850" cy="469900"/>
          <wp:effectExtent l="19050" t="0" r="0" b="0"/>
          <wp:wrapTight wrapText="bothSides">
            <wp:wrapPolygon edited="0">
              <wp:start x="2136" y="0"/>
              <wp:lineTo x="3560" y="14011"/>
              <wp:lineTo x="-712" y="14011"/>
              <wp:lineTo x="-712" y="19265"/>
              <wp:lineTo x="4985" y="21016"/>
              <wp:lineTo x="16378" y="21016"/>
              <wp:lineTo x="21363" y="19265"/>
              <wp:lineTo x="21363" y="14011"/>
              <wp:lineTo x="17802" y="14011"/>
              <wp:lineTo x="19938" y="9632"/>
              <wp:lineTo x="19226" y="0"/>
              <wp:lineTo x="2136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621A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00384" behindDoc="1" locked="0" layoutInCell="1" allowOverlap="1" wp14:anchorId="49821735" wp14:editId="1EC1281E">
          <wp:simplePos x="0" y="0"/>
          <wp:positionH relativeFrom="column">
            <wp:posOffset>2573655</wp:posOffset>
          </wp:positionH>
          <wp:positionV relativeFrom="paragraph">
            <wp:posOffset>-513080</wp:posOffset>
          </wp:positionV>
          <wp:extent cx="1314450" cy="1282700"/>
          <wp:effectExtent l="1905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621A">
      <w:rPr>
        <w:rFonts w:ascii="Arial Narrow" w:hAnsi="Arial Narrow"/>
        <w:sz w:val="20"/>
      </w:rPr>
      <w:tab/>
      <w:t xml:space="preserve">  </w:t>
    </w:r>
    <w:r w:rsidR="00A76425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714048" behindDoc="1" locked="0" layoutInCell="1" allowOverlap="1" wp14:anchorId="732CD4E5" wp14:editId="19F058C5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05B90" w14:textId="2E9CF952" w:rsidR="00A76425" w:rsidRDefault="00595477" w:rsidP="000C506E">
    <w:pPr>
      <w:pStyle w:val="Hlavika"/>
      <w:tabs>
        <w:tab w:val="left" w:pos="2220"/>
        <w:tab w:val="right" w:pos="9072"/>
      </w:tabs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014B84C4" wp14:editId="37B7BC6C">
          <wp:simplePos x="0" y="0"/>
          <wp:positionH relativeFrom="column">
            <wp:posOffset>970280</wp:posOffset>
          </wp:positionH>
          <wp:positionV relativeFrom="paragraph">
            <wp:posOffset>-201930</wp:posOffset>
          </wp:positionV>
          <wp:extent cx="574675" cy="469900"/>
          <wp:effectExtent l="19050" t="0" r="0" b="0"/>
          <wp:wrapTight wrapText="bothSides">
            <wp:wrapPolygon edited="0">
              <wp:start x="2148" y="0"/>
              <wp:lineTo x="3580" y="14011"/>
              <wp:lineTo x="-716" y="14011"/>
              <wp:lineTo x="-716" y="19265"/>
              <wp:lineTo x="5012" y="21016"/>
              <wp:lineTo x="16469" y="21016"/>
              <wp:lineTo x="21481" y="19265"/>
              <wp:lineTo x="21481" y="14011"/>
              <wp:lineTo x="17901" y="14011"/>
              <wp:lineTo x="20049" y="9632"/>
              <wp:lineTo x="19333" y="0"/>
              <wp:lineTo x="2148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3B66E236" wp14:editId="3026D029">
          <wp:simplePos x="0" y="0"/>
          <wp:positionH relativeFrom="column">
            <wp:posOffset>3998595</wp:posOffset>
          </wp:positionH>
          <wp:positionV relativeFrom="paragraph">
            <wp:posOffset>-163830</wp:posOffset>
          </wp:positionV>
          <wp:extent cx="1731645" cy="485775"/>
          <wp:effectExtent l="0" t="0" r="1905" b="9525"/>
          <wp:wrapTight wrapText="bothSides">
            <wp:wrapPolygon edited="0">
              <wp:start x="0" y="0"/>
              <wp:lineTo x="0" y="21176"/>
              <wp:lineTo x="21386" y="21176"/>
              <wp:lineTo x="21386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113C2CDE" wp14:editId="4079B450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733425" cy="676275"/>
          <wp:effectExtent l="0" t="0" r="9525" b="9525"/>
          <wp:wrapNone/>
          <wp:docPr id="11" name="Obrázok 10">
            <a:extLst xmlns:a="http://schemas.openxmlformats.org/drawingml/2006/main">
              <a:ext uri="{FF2B5EF4-FFF2-40B4-BE49-F238E27FC236}">
                <a16:creationId xmlns:a16="http://schemas.microsoft.com/office/drawing/2014/main" id="{7F3CB137-7E66-4E15-A390-26435CFF63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ok 10">
                    <a:extLst>
                      <a:ext uri="{FF2B5EF4-FFF2-40B4-BE49-F238E27FC236}">
                        <a16:creationId xmlns:a16="http://schemas.microsoft.com/office/drawing/2014/main" id="{7F3CB137-7E66-4E15-A390-26435CFF634B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943424" behindDoc="1" locked="0" layoutInCell="1" allowOverlap="1" wp14:anchorId="403C2699" wp14:editId="44F0336A">
          <wp:simplePos x="0" y="0"/>
          <wp:positionH relativeFrom="column">
            <wp:posOffset>1876425</wp:posOffset>
          </wp:positionH>
          <wp:positionV relativeFrom="paragraph">
            <wp:posOffset>-153670</wp:posOffset>
          </wp:positionV>
          <wp:extent cx="1987550" cy="46672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7653">
      <w:rPr>
        <w:rFonts w:ascii="Arial Narrow" w:hAnsi="Arial Narrow"/>
        <w:sz w:val="20"/>
      </w:rPr>
      <w:tab/>
    </w:r>
    <w:r w:rsidR="00BE7653">
      <w:rPr>
        <w:rFonts w:ascii="Arial Narrow" w:hAnsi="Arial Narrow"/>
        <w:sz w:val="20"/>
      </w:rPr>
      <w:tab/>
      <w:t xml:space="preserve">                                                                                                </w:t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17458745" w14:textId="77777777" w:rsidR="00D1621A" w:rsidRDefault="00D1621A" w:rsidP="00437D96">
    <w:pPr>
      <w:pStyle w:val="Hlavika"/>
    </w:pPr>
  </w:p>
  <w:p w14:paraId="61632161" w14:textId="735E0996" w:rsidR="00D1621A" w:rsidRDefault="00BE7653" w:rsidP="000C506E">
    <w:pPr>
      <w:pStyle w:val="Hlavika"/>
      <w:tabs>
        <w:tab w:val="left" w:pos="690"/>
      </w:tabs>
      <w:jc w:val="left"/>
    </w:pPr>
    <w:r>
      <w:tab/>
    </w:r>
  </w:p>
  <w:p w14:paraId="330472BC" w14:textId="77777777" w:rsidR="00D1621A" w:rsidRDefault="00D1621A" w:rsidP="00437D96">
    <w:pPr>
      <w:pStyle w:val="Hlavika"/>
    </w:pPr>
  </w:p>
  <w:p w14:paraId="4CB270BC" w14:textId="77777777" w:rsidR="00D1621A" w:rsidRPr="00730D1A" w:rsidRDefault="00D1621A" w:rsidP="00D1621A">
    <w:pPr>
      <w:pStyle w:val="Hlavika"/>
      <w:jc w:val="center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 xml:space="preserve">Príloha č. </w:t>
    </w:r>
    <w:r>
      <w:rPr>
        <w:rFonts w:ascii="Arial Narrow" w:hAnsi="Arial Narrow" w:cs="Arial"/>
        <w:sz w:val="20"/>
      </w:rPr>
      <w:t>2</w:t>
    </w:r>
    <w:r w:rsidRPr="002D0E38">
      <w:rPr>
        <w:rFonts w:ascii="Arial Narrow" w:hAnsi="Arial Narrow" w:cs="Arial"/>
        <w:sz w:val="20"/>
      </w:rPr>
      <w:t xml:space="preserve">  výzvy – </w:t>
    </w:r>
    <w:r w:rsidR="002524C1">
      <w:rPr>
        <w:rFonts w:ascii="Arial Narrow" w:hAnsi="Arial Narrow" w:cs="Arial"/>
        <w:sz w:val="20"/>
      </w:rPr>
      <w:t>Š</w:t>
    </w:r>
    <w:r>
      <w:rPr>
        <w:rFonts w:ascii="Arial Narrow" w:hAnsi="Arial Narrow" w:cs="Arial"/>
        <w:sz w:val="20"/>
      </w:rPr>
      <w:t>pecifikácia rozsahu oprávnených aktivít a oprávnených výdavkov</w:t>
    </w:r>
  </w:p>
  <w:p w14:paraId="749BBF59" w14:textId="77777777" w:rsidR="00D1621A" w:rsidRDefault="00D1621A" w:rsidP="00437D96">
    <w:pPr>
      <w:pStyle w:val="Hlavika"/>
    </w:pPr>
  </w:p>
  <w:p w14:paraId="1608BE7C" w14:textId="77777777" w:rsidR="00D1621A" w:rsidRDefault="00D1621A" w:rsidP="00437D96">
    <w:pPr>
      <w:pStyle w:val="Hlavika"/>
    </w:pPr>
  </w:p>
  <w:p w14:paraId="688045FB" w14:textId="77777777" w:rsidR="00A76425" w:rsidRPr="00687FF8" w:rsidRDefault="00D1621A" w:rsidP="00437D96">
    <w:pPr>
      <w:pStyle w:val="Hlavika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9FA8D" w14:textId="77777777" w:rsidR="002524C1" w:rsidRDefault="002524C1" w:rsidP="002524C1">
    <w:pPr>
      <w:pStyle w:val="Hlavika"/>
    </w:pPr>
  </w:p>
  <w:p w14:paraId="267DBD1B" w14:textId="77777777" w:rsidR="00A76425" w:rsidRPr="001B5DCB" w:rsidRDefault="002524C1" w:rsidP="002524C1">
    <w:pPr>
      <w:pStyle w:val="Hlavika"/>
      <w:tabs>
        <w:tab w:val="right" w:pos="14004"/>
      </w:tabs>
    </w:pPr>
    <w:r w:rsidRPr="002D0E38">
      <w:rPr>
        <w:rFonts w:ascii="Arial Narrow" w:hAnsi="Arial Narrow" w:cs="Arial"/>
        <w:sz w:val="20"/>
      </w:rPr>
      <w:t xml:space="preserve">Príloha č. </w:t>
    </w:r>
    <w:r>
      <w:rPr>
        <w:rFonts w:ascii="Arial Narrow" w:hAnsi="Arial Narrow" w:cs="Arial"/>
        <w:sz w:val="20"/>
      </w:rPr>
      <w:t>2</w:t>
    </w:r>
    <w:r w:rsidRPr="002D0E38">
      <w:rPr>
        <w:rFonts w:ascii="Arial Narrow" w:hAnsi="Arial Narrow" w:cs="Arial"/>
        <w:sz w:val="20"/>
      </w:rPr>
      <w:t xml:space="preserve">  výzvy </w:t>
    </w:r>
    <w:r>
      <w:rPr>
        <w:rFonts w:ascii="Arial Narrow" w:hAnsi="Arial Narrow" w:cs="Arial"/>
        <w:sz w:val="20"/>
      </w:rPr>
      <w:t xml:space="preserve"> - </w:t>
    </w:r>
    <w:r w:rsidR="00A76425" w:rsidRPr="001B5DCB">
      <w:t>Špecifikácia oprávnených aktivít a oprávnených výdavkov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943B9" w14:textId="77777777" w:rsidR="00A76425" w:rsidRPr="001B5DCB" w:rsidRDefault="002524C1" w:rsidP="00437D96">
    <w:pPr>
      <w:pStyle w:val="Hlavika"/>
      <w:tabs>
        <w:tab w:val="right" w:pos="14004"/>
      </w:tabs>
    </w:pPr>
    <w:r>
      <w:t xml:space="preserve">Príloha č. 2 výzvy -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96"/>
    <w:rsid w:val="00012AA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C506E"/>
    <w:rsid w:val="000E52FF"/>
    <w:rsid w:val="00106314"/>
    <w:rsid w:val="00113C2C"/>
    <w:rsid w:val="00114544"/>
    <w:rsid w:val="001334FC"/>
    <w:rsid w:val="001663AC"/>
    <w:rsid w:val="001770B0"/>
    <w:rsid w:val="001A66A4"/>
    <w:rsid w:val="001B1B53"/>
    <w:rsid w:val="001B4D56"/>
    <w:rsid w:val="001C1B0C"/>
    <w:rsid w:val="001F08C9"/>
    <w:rsid w:val="002060A5"/>
    <w:rsid w:val="00222486"/>
    <w:rsid w:val="0022401A"/>
    <w:rsid w:val="00224D63"/>
    <w:rsid w:val="002524C1"/>
    <w:rsid w:val="00286B67"/>
    <w:rsid w:val="00290A29"/>
    <w:rsid w:val="002A4B1F"/>
    <w:rsid w:val="002B76C5"/>
    <w:rsid w:val="002D45AB"/>
    <w:rsid w:val="002F25E6"/>
    <w:rsid w:val="00301FE1"/>
    <w:rsid w:val="00350521"/>
    <w:rsid w:val="00355300"/>
    <w:rsid w:val="003A78DE"/>
    <w:rsid w:val="003D61B8"/>
    <w:rsid w:val="003E0C5A"/>
    <w:rsid w:val="003F6B8D"/>
    <w:rsid w:val="00414188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7295"/>
    <w:rsid w:val="005265E1"/>
    <w:rsid w:val="00545CDC"/>
    <w:rsid w:val="00573430"/>
    <w:rsid w:val="00595477"/>
    <w:rsid w:val="005A67D1"/>
    <w:rsid w:val="005D77EB"/>
    <w:rsid w:val="005E412A"/>
    <w:rsid w:val="006C0D2C"/>
    <w:rsid w:val="006E0BA1"/>
    <w:rsid w:val="00707EA7"/>
    <w:rsid w:val="007178B7"/>
    <w:rsid w:val="00722D6C"/>
    <w:rsid w:val="00732593"/>
    <w:rsid w:val="007723AB"/>
    <w:rsid w:val="007723AE"/>
    <w:rsid w:val="00773273"/>
    <w:rsid w:val="007900C1"/>
    <w:rsid w:val="00791038"/>
    <w:rsid w:val="00796060"/>
    <w:rsid w:val="007A1D28"/>
    <w:rsid w:val="007C283F"/>
    <w:rsid w:val="007F52E1"/>
    <w:rsid w:val="008563D7"/>
    <w:rsid w:val="00856D01"/>
    <w:rsid w:val="008756EC"/>
    <w:rsid w:val="00880DAE"/>
    <w:rsid w:val="00884FC7"/>
    <w:rsid w:val="00895F57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B0BF4"/>
    <w:rsid w:val="009D7016"/>
    <w:rsid w:val="009D7623"/>
    <w:rsid w:val="00A0441A"/>
    <w:rsid w:val="00A76425"/>
    <w:rsid w:val="00AD3328"/>
    <w:rsid w:val="00B0092A"/>
    <w:rsid w:val="00B24ED0"/>
    <w:rsid w:val="00B46148"/>
    <w:rsid w:val="00B505EC"/>
    <w:rsid w:val="00B73919"/>
    <w:rsid w:val="00B7415C"/>
    <w:rsid w:val="00B97C29"/>
    <w:rsid w:val="00BA25DC"/>
    <w:rsid w:val="00BE344E"/>
    <w:rsid w:val="00BE7653"/>
    <w:rsid w:val="00C15C21"/>
    <w:rsid w:val="00CC5DB8"/>
    <w:rsid w:val="00CD4576"/>
    <w:rsid w:val="00D1621A"/>
    <w:rsid w:val="00D27547"/>
    <w:rsid w:val="00D30727"/>
    <w:rsid w:val="00D4450F"/>
    <w:rsid w:val="00D76D93"/>
    <w:rsid w:val="00D80A8E"/>
    <w:rsid w:val="00DA2EC4"/>
    <w:rsid w:val="00DD6BA2"/>
    <w:rsid w:val="00E10467"/>
    <w:rsid w:val="00E20668"/>
    <w:rsid w:val="00E25773"/>
    <w:rsid w:val="00E64C0E"/>
    <w:rsid w:val="00ED21AB"/>
    <w:rsid w:val="00F050EA"/>
    <w:rsid w:val="00F246B5"/>
    <w:rsid w:val="00F64E2F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6662E"/>
  <w15:docId w15:val="{3B3D3E95-A018-45F9-89CE-31B28F9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F351-985C-4F23-B4BE-D75DBCDF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Andrej Alakša</cp:lastModifiedBy>
  <cp:revision>6</cp:revision>
  <dcterms:created xsi:type="dcterms:W3CDTF">2020-09-28T06:11:00Z</dcterms:created>
  <dcterms:modified xsi:type="dcterms:W3CDTF">2020-11-19T13:11:00Z</dcterms:modified>
</cp:coreProperties>
</file>